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Проект</w:t>
      </w:r>
      <w:r/>
    </w:p>
    <w:p>
      <w:pPr>
        <w:jc w:val="both"/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889"/>
        <w:jc w:val="center"/>
        <w:spacing w:line="276" w:lineRule="auto"/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89"/>
        <w:jc w:val="center"/>
        <w:spacing w:line="276" w:lineRule="auto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89"/>
        <w:jc w:val="center"/>
        <w:spacing w:line="276" w:lineRule="auto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89"/>
        <w:jc w:val="center"/>
        <w:spacing w:line="276" w:lineRule="auto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89"/>
        <w:jc w:val="center"/>
        <w:spacing w:line="276" w:lineRule="auto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89"/>
        <w:jc w:val="both"/>
        <w:spacing w:line="276" w:lineRule="auto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№______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88"/>
        <w:jc w:val="both"/>
        <w:spacing w:line="276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региональной программы Еврейской автономной области «Модернизация объектов коммунальной инфраструктуры в Еврейской автономной области» на 2023 – 2027 годы</w:t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обеспечения потребителей качественными жилищно-коммунальными услугами на территории Еврейской автономной области:</w:t>
      </w:r>
      <w:r/>
    </w:p>
    <w:p>
      <w:pPr>
        <w:pStyle w:val="886"/>
        <w:numPr>
          <w:ilvl w:val="0"/>
          <w:numId w:val="1"/>
        </w:numPr>
        <w:ind w:left="0"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программу модернизации объектов коммунальной инфраструктуры в Еврейской автономной области на         2023 – 2027 годы. </w:t>
      </w:r>
      <w:r/>
    </w:p>
    <w:p>
      <w:pPr>
        <w:pStyle w:val="886"/>
        <w:numPr>
          <w:ilvl w:val="0"/>
          <w:numId w:val="1"/>
        </w:numPr>
        <w:ind w:left="0"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подписания. </w:t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sz w:val="28"/>
          <w:szCs w:val="28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  <w:t xml:space="preserve"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Р.Э. Гольдштейн</w:t>
      </w:r>
      <w:r/>
    </w:p>
    <w:p>
      <w:pPr>
        <w:ind w:left="524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  <w:r/>
    </w:p>
    <w:p>
      <w:pPr>
        <w:ind w:left="524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распоряжением правительства Еврейской автономной области </w:t>
      </w:r>
      <w:r/>
    </w:p>
    <w:p>
      <w:pPr>
        <w:ind w:left="524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от________2023 года №     -рп</w:t>
      </w:r>
      <w:r/>
    </w:p>
    <w:p>
      <w:pPr>
        <w:ind w:left="524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модернизации объектов коммунальной инфраструктуры в Еврейской автономной области на 2023 – 2027 годы</w:t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jc w:val="center"/>
        <w:rPr>
          <w:rFonts w:cs="Times New Roman"/>
          <w:b w:val="0"/>
          <w:sz w:val="28"/>
          <w:szCs w:val="28"/>
        </w:rPr>
        <w:outlineLvl w:val="1"/>
      </w:pPr>
      <w:r>
        <w:rPr>
          <w:rFonts w:cs="Times New Roman"/>
          <w:b w:val="0"/>
          <w:sz w:val="28"/>
          <w:szCs w:val="28"/>
        </w:rPr>
        <w:t xml:space="preserve">1.Паспорт</w:t>
      </w:r>
      <w:r/>
    </w:p>
    <w:p>
      <w:pPr>
        <w:pStyle w:val="889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программы модернизации объектов коммунальной инфраструктуры в Еврейской автономной области на 2023 – 2027 годы </w:t>
      </w:r>
      <w:r/>
    </w:p>
    <w:p>
      <w:pPr>
        <w:pStyle w:val="888"/>
        <w:jc w:val="both"/>
      </w:pPr>
      <w:r/>
      <w:r/>
    </w:p>
    <w:tbl>
      <w:tblPr>
        <w:tblW w:w="9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1343"/>
        <w:gridCol w:w="1128"/>
        <w:gridCol w:w="1304"/>
        <w:gridCol w:w="1253"/>
        <w:gridCol w:w="1418"/>
      </w:tblGrid>
      <w:tr>
        <w:trPr>
          <w:trHeight w:val="764"/>
        </w:trPr>
        <w:tc>
          <w:tcPr>
            <w:tcW w:w="2122" w:type="dxa"/>
            <w:textDirection w:val="lrTb"/>
            <w:noWrap/>
          </w:tcPr>
          <w:p>
            <w:pPr>
              <w:pStyle w:val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комплексной программы</w:t>
            </w:r>
            <w:r/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«Программа модернизации объектов коммунальной инфраструктуры в Еврейской автономной области на 2023 – 2027 годы»</w:t>
            </w:r>
            <w:r/>
          </w:p>
        </w:tc>
      </w:tr>
      <w:tr>
        <w:trPr>
          <w:trHeight w:val="764"/>
        </w:trPr>
        <w:tc>
          <w:tcPr>
            <w:tcW w:w="2122" w:type="dxa"/>
            <w:textDirection w:val="lrTb"/>
            <w:noWrap/>
          </w:tcPr>
          <w:p>
            <w:pPr>
              <w:pStyle w:val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принятия решения о разработке региональной программы</w:t>
            </w:r>
            <w:r/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39"/>
        </w:trPr>
        <w:tc>
          <w:tcPr>
            <w:tcW w:w="2122" w:type="dxa"/>
            <w:textDirection w:val="lrTb"/>
            <w:noWrap/>
          </w:tcPr>
          <w:p>
            <w:pPr>
              <w:pStyle w:val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исполнительрегиональной программы</w:t>
            </w:r>
            <w:r/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 (далее – область)</w:t>
            </w:r>
            <w:r/>
          </w:p>
        </w:tc>
      </w:tr>
      <w:tr>
        <w:trPr>
          <w:trHeight w:val="439"/>
        </w:trPr>
        <w:tc>
          <w:tcPr>
            <w:tcW w:w="2122" w:type="dxa"/>
            <w:textDirection w:val="lrTb"/>
            <w:noWrap/>
          </w:tcPr>
          <w:p>
            <w:pPr>
              <w:pStyle w:val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региональной программы</w:t>
            </w:r>
            <w:r/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муниципальных образований области</w:t>
            </w:r>
            <w:r/>
          </w:p>
        </w:tc>
      </w:tr>
      <w:tr>
        <w:trPr>
          <w:trHeight w:val="439"/>
        </w:trPr>
        <w:tc>
          <w:tcPr>
            <w:tcW w:w="2122" w:type="dxa"/>
            <w:textDirection w:val="lrTb"/>
            <w:noWrap/>
          </w:tcPr>
          <w:p>
            <w:pPr>
              <w:pStyle w:val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региональной программы</w:t>
            </w:r>
            <w:r/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ГП ЕАО «Облэнергоремонт плюс», ООО «Экспресс»</w:t>
            </w:r>
            <w:r/>
          </w:p>
        </w:tc>
      </w:tr>
      <w:tr>
        <w:trPr/>
        <w:tc>
          <w:tcPr>
            <w:tcW w:w="2122" w:type="dxa"/>
            <w:textDirection w:val="lrTb"/>
            <w:noWrap/>
          </w:tcPr>
          <w:p>
            <w:pPr>
              <w:pStyle w:val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комплексной программы</w:t>
            </w:r>
            <w:r/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снижение потерь коммунальных ресурсов;</w:t>
            </w:r>
            <w:r/>
          </w:p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установление экономически обоснованных тарифов на коммунальные услуги;</w:t>
            </w:r>
            <w:r/>
          </w:p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предоставления качественных коммунальных услуг посредством реконструкции существующих и строительства новы</w:t>
            </w:r>
            <w:r>
              <w:rPr>
                <w:sz w:val="24"/>
                <w:szCs w:val="24"/>
              </w:rPr>
              <w:t xml:space="preserve">х объектов жилищно-коммунального комплекса на территории муниципальных образований области для повышения их надежности, качества и энергетической эффективности, снижения эксплуатационных издержек, увеличения надежности и качества обслуживания потребителей;</w:t>
            </w:r>
            <w:r/>
          </w:p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привлечение инвестиционных ресурсов за счет тарифных и иных </w:t>
            </w:r>
            <w:r>
              <w:rPr>
                <w:sz w:val="24"/>
                <w:szCs w:val="24"/>
              </w:rPr>
              <w:t xml:space="preserve">источников, эффективное освоение привлекаемых инвестиций;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улучшение качества </w:t>
            </w:r>
            <w:hyperlink r:id="rId15" w:tooltip="Питьевая вода" w:history="1">
              <w:r>
                <w:rPr>
                  <w:sz w:val="24"/>
                  <w:szCs w:val="24"/>
                </w:rPr>
                <w:t xml:space="preserve">питьевой воды</w:t>
              </w:r>
            </w:hyperlink>
            <w:r>
              <w:rPr>
                <w:sz w:val="24"/>
                <w:szCs w:val="24"/>
              </w:rPr>
              <w:t xml:space="preserve">, подаваемой населению, и доведение услуги по водоснабжению до уровня, отвечающего потребностям жизнедеятельности человека;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качества управления объектами коммунальной инфраструктуры</w:t>
            </w:r>
            <w:r/>
          </w:p>
        </w:tc>
      </w:tr>
      <w:tr>
        <w:trPr/>
        <w:tc>
          <w:tcPr>
            <w:tcW w:w="2122" w:type="dxa"/>
            <w:textDirection w:val="lrTb"/>
            <w:noWrap/>
          </w:tcPr>
          <w:p>
            <w:pPr>
              <w:pStyle w:val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комплексной  программы</w:t>
            </w:r>
            <w:r/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комфортных условий для проживания населения.</w:t>
            </w:r>
            <w:r/>
          </w:p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Создание условий для развития сетевой инфраструктуры и генерирующих мощностей.</w:t>
            </w:r>
            <w:r/>
          </w:p>
        </w:tc>
      </w:tr>
      <w:tr>
        <w:trPr/>
        <w:tc>
          <w:tcPr>
            <w:tcW w:w="2122" w:type="dxa"/>
            <w:textDirection w:val="lrTb"/>
            <w:noWrap/>
          </w:tcPr>
          <w:p>
            <w:pPr>
              <w:pStyle w:val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показатели комплексной программы</w:t>
            </w:r>
            <w:r/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888"/>
              <w:numPr>
                <w:ilvl w:val="0"/>
                <w:numId w:val="2"/>
              </w:numPr>
              <w:ind w:left="0"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численности населения, для которого улучшится качество коммунальных услуг</w:t>
            </w:r>
            <w:r/>
          </w:p>
          <w:p>
            <w:pPr>
              <w:pStyle w:val="888"/>
              <w:numPr>
                <w:ilvl w:val="0"/>
                <w:numId w:val="2"/>
              </w:numPr>
              <w:ind w:left="0"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протяженности замены инженерных сетей.</w:t>
            </w:r>
            <w:r/>
          </w:p>
          <w:p>
            <w:pPr>
              <w:pStyle w:val="888"/>
              <w:numPr>
                <w:ilvl w:val="0"/>
                <w:numId w:val="2"/>
              </w:numPr>
              <w:ind w:left="0"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аварийности коммунальной инфраструктуры</w:t>
            </w:r>
            <w:r/>
          </w:p>
        </w:tc>
      </w:tr>
      <w:tr>
        <w:trPr/>
        <w:tc>
          <w:tcPr>
            <w:tcW w:w="2122" w:type="dxa"/>
            <w:textDirection w:val="lrTb"/>
            <w:noWrap/>
          </w:tcPr>
          <w:p>
            <w:pPr>
              <w:pStyle w:val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Планы мероприятий с указанием сроков реализации</w:t>
            </w:r>
            <w:r/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888"/>
              <w:ind w:lef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Планы мероприятий приведены в приложении № 1 к настоящей программе</w:t>
            </w:r>
            <w:r/>
          </w:p>
        </w:tc>
      </w:tr>
      <w:tr>
        <w:trPr/>
        <w:tc>
          <w:tcPr>
            <w:tcW w:w="2122" w:type="dxa"/>
            <w:textDirection w:val="lrTb"/>
            <w:noWrap/>
          </w:tcPr>
          <w:p>
            <w:pPr>
              <w:pStyle w:val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и сроки реализации комплексной  программы</w:t>
            </w:r>
            <w:r/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8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2023 - 2027 годы</w:t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2122" w:type="dxa"/>
            <w:vMerge w:val="restart"/>
            <w:textDirection w:val="lrTb"/>
            <w:noWrap/>
          </w:tcPr>
          <w:p>
            <w:pPr>
              <w:pStyle w:val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региональной программы</w:t>
            </w:r>
            <w:r/>
          </w:p>
        </w:tc>
        <w:tc>
          <w:tcPr>
            <w:gridSpan w:val="6"/>
            <w:tcBorders>
              <w:top w:val="none" w:color="000000" w:sz="4" w:space="0"/>
            </w:tcBorders>
            <w:tcW w:w="7296" w:type="dxa"/>
            <w:textDirection w:val="lrTb"/>
            <w:noWrap/>
          </w:tcPr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за счет всех источников составит тыс. рублей</w:t>
            </w:r>
            <w:r/>
          </w:p>
        </w:tc>
      </w:tr>
      <w:tr>
        <w:trPr/>
        <w:tc>
          <w:tcPr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1343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128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304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1253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</w:tr>
      <w:tr>
        <w:trPr/>
        <w:tc>
          <w:tcPr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/>
          </w:p>
        </w:tc>
        <w:tc>
          <w:tcPr>
            <w:tcW w:w="134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116500,0</w:t>
            </w:r>
            <w:r>
              <w:rPr>
                <w:bCs/>
                <w:color w:val="000000"/>
                <w:sz w:val="24"/>
                <w:szCs w:val="28"/>
              </w:rPr>
              <w:t xml:space="preserve">0</w:t>
            </w:r>
            <w:r/>
          </w:p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1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13154,00</w:t>
            </w:r>
            <w:r/>
          </w:p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304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0,00</w:t>
            </w:r>
            <w:r/>
          </w:p>
        </w:tc>
        <w:tc>
          <w:tcPr>
            <w:tcW w:w="125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>
              <w:t xml:space="preserve">21815,00</w:t>
            </w:r>
            <w:r/>
          </w:p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151469,00</w:t>
            </w:r>
            <w:r/>
          </w:p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/>
          </w:p>
        </w:tc>
        <w:tc>
          <w:tcPr>
            <w:tcW w:w="134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rPr>
                <w:bCs/>
                <w:color w:val="000000"/>
                <w:sz w:val="24"/>
                <w:szCs w:val="28"/>
              </w:rPr>
              <w:t xml:space="preserve">388200,00</w:t>
            </w:r>
            <w:r/>
          </w:p>
        </w:tc>
        <w:tc>
          <w:tcPr>
            <w:tcW w:w="1128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541</w:t>
            </w:r>
            <w:r>
              <w:t xml:space="preserve">37,00</w:t>
            </w:r>
            <w:r/>
          </w:p>
        </w:tc>
        <w:tc>
          <w:tcPr>
            <w:tcW w:w="1304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0,00</w:t>
            </w:r>
            <w:r/>
          </w:p>
        </w:tc>
        <w:tc>
          <w:tcPr>
            <w:tcW w:w="125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8955</w:t>
            </w:r>
            <w:r>
              <w:rPr>
                <w:bCs/>
                <w:color w:val="000000"/>
                <w:sz w:val="24"/>
                <w:szCs w:val="28"/>
              </w:rPr>
              <w:t xml:space="preserve">6</w:t>
            </w:r>
            <w:r>
              <w:rPr>
                <w:bCs/>
                <w:color w:val="000000"/>
                <w:sz w:val="24"/>
                <w:szCs w:val="28"/>
              </w:rPr>
              <w:t xml:space="preserve">,0</w:t>
            </w:r>
            <w:r>
              <w:rPr>
                <w:bCs/>
                <w:color w:val="000000"/>
                <w:sz w:val="24"/>
                <w:szCs w:val="28"/>
              </w:rPr>
              <w:t xml:space="preserve">0</w:t>
            </w:r>
            <w:r/>
          </w:p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53</w:t>
            </w:r>
            <w:r>
              <w:rPr>
                <w:bCs/>
                <w:color w:val="000000"/>
                <w:sz w:val="24"/>
                <w:szCs w:val="28"/>
              </w:rPr>
              <w:t xml:space="preserve">189</w:t>
            </w:r>
            <w:r>
              <w:rPr>
                <w:bCs/>
                <w:color w:val="000000"/>
                <w:sz w:val="24"/>
                <w:szCs w:val="28"/>
              </w:rPr>
              <w:t xml:space="preserve">3</w:t>
            </w:r>
            <w:r>
              <w:rPr>
                <w:bCs/>
                <w:color w:val="000000"/>
                <w:sz w:val="24"/>
                <w:szCs w:val="28"/>
              </w:rPr>
              <w:t xml:space="preserve">,00</w:t>
            </w:r>
            <w:r/>
          </w:p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/>
          </w:p>
        </w:tc>
        <w:tc>
          <w:tcPr>
            <w:tcW w:w="134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128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304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253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/>
          </w:p>
        </w:tc>
        <w:tc>
          <w:tcPr>
            <w:tcW w:w="134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128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304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253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/>
          </w:p>
        </w:tc>
        <w:tc>
          <w:tcPr>
            <w:tcW w:w="134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128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304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253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/>
          </w:p>
        </w:tc>
        <w:tc>
          <w:tcPr>
            <w:tcW w:w="134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128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304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253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/>
          </w:p>
        </w:tc>
        <w:tc>
          <w:tcPr>
            <w:tcW w:w="134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128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304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253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</w:t>
            </w:r>
            <w:r/>
          </w:p>
        </w:tc>
        <w:tc>
          <w:tcPr>
            <w:tcW w:w="134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128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304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W w:w="1253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85"/>
        </w:trPr>
        <w:tc>
          <w:tcPr>
            <w:tcBorders>
              <w:bottom w:val="single" w:color="auto" w:sz="4" w:space="0"/>
            </w:tcBorders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43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504700</w:t>
            </w:r>
            <w:r>
              <w:rPr>
                <w:sz w:val="24"/>
                <w:szCs w:val="24"/>
              </w:rPr>
              <w:t xml:space="preserve">,00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28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  <w:t xml:space="preserve">291,00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04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53" w:type="dxa"/>
            <w:textDirection w:val="lrTb"/>
            <w:noWrap/>
          </w:tcPr>
          <w:p>
            <w:pPr>
              <w:pStyle w:val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1113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,00</w:t>
            </w:r>
            <w:r/>
          </w:p>
        </w:tc>
        <w:tc>
          <w:tcPr>
            <w:tcBorders>
              <w:bottom w:val="single" w:color="auto" w:sz="4" w:space="0"/>
            </w:tcBorders>
            <w:tcW w:w="1418" w:type="dxa"/>
            <w:textDirection w:val="lrTb"/>
            <w:noWrap/>
          </w:tcPr>
          <w:p>
            <w:pPr>
              <w:pStyle w:val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683</w:t>
            </w: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,00</w:t>
            </w:r>
            <w:r/>
          </w:p>
        </w:tc>
      </w:tr>
      <w:tr>
        <w:trPr>
          <w:trHeight w:val="1696"/>
        </w:trPr>
        <w:tc>
          <w:tcPr>
            <w:tcW w:w="2122" w:type="dxa"/>
            <w:textDirection w:val="lrTb"/>
            <w:noWrap/>
          </w:tcPr>
          <w:p>
            <w:pPr>
              <w:pStyle w:val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программы</w:t>
            </w:r>
            <w:r/>
          </w:p>
        </w:tc>
        <w:tc>
          <w:tcPr>
            <w:gridSpan w:val="6"/>
            <w:tcW w:w="7296" w:type="dxa"/>
            <w:textDirection w:val="lrTb"/>
            <w:noWrap/>
          </w:tcPr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Успешное выполнение мероприятий комплексной программы позволит обеспечить достижение следующих показателей:</w:t>
            </w:r>
            <w:r/>
          </w:p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Увеличить численность населения, для которого улучшится качество коммунальных услуг</w:t>
            </w:r>
            <w:r/>
          </w:p>
          <w:p>
            <w:pPr>
              <w:pStyle w:val="888"/>
              <w:ind w:lef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Увеличить протяженность замены инженерных сетей.</w:t>
            </w:r>
            <w:r/>
          </w:p>
          <w:p>
            <w:pPr>
              <w:pStyle w:val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Снижение аварийности коммунальной инфраструктуры</w:t>
            </w:r>
            <w:r/>
          </w:p>
        </w:tc>
      </w:tr>
    </w:tbl>
    <w:p>
      <w:pPr>
        <w:pStyle w:val="888"/>
        <w:ind w:firstLine="540"/>
        <w:jc w:val="both"/>
        <w:rPr>
          <w:szCs w:val="28"/>
        </w:rPr>
      </w:pPr>
      <w:r>
        <w:rPr>
          <w:szCs w:val="28"/>
        </w:rPr>
        <w:t xml:space="preserve">Объемы финансирования из федерального, областного и местных бюджетов, а также внебюджетных источников являются прогнозными и могут уточняться в течение действия комплексной программы.</w:t>
      </w:r>
      <w:r/>
    </w:p>
    <w:p>
      <w:pPr>
        <w:pStyle w:val="888"/>
        <w:ind w:firstLine="540"/>
        <w:jc w:val="both"/>
        <w:rPr>
          <w:szCs w:val="28"/>
        </w:rPr>
      </w:pPr>
      <w:r>
        <w:rPr>
          <w:szCs w:val="28"/>
        </w:rPr>
      </w:r>
      <w:r/>
    </w:p>
    <w:p>
      <w:pPr>
        <w:pStyle w:val="888"/>
        <w:jc w:val="both"/>
        <w:rPr>
          <w:szCs w:val="28"/>
        </w:rPr>
      </w:pPr>
      <w:r>
        <w:rPr>
          <w:szCs w:val="28"/>
        </w:rPr>
      </w:r>
      <w:r/>
    </w:p>
    <w:p>
      <w:pPr>
        <w:pStyle w:val="889"/>
        <w:ind w:left="360"/>
        <w:jc w:val="center"/>
        <w:rPr>
          <w:rFonts w:cs="Times New Roman"/>
          <w:b w:val="0"/>
          <w:sz w:val="28"/>
          <w:szCs w:val="28"/>
        </w:rPr>
        <w:outlineLvl w:val="1"/>
      </w:pPr>
      <w:r>
        <w:rPr>
          <w:rFonts w:cs="Times New Roman"/>
          <w:b w:val="0"/>
          <w:sz w:val="28"/>
          <w:szCs w:val="28"/>
        </w:rPr>
        <w:t xml:space="preserve">2. Общая характеристика сферы реализации комплексной</w:t>
      </w:r>
      <w:r/>
    </w:p>
    <w:p>
      <w:pPr>
        <w:pStyle w:val="889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программы, в том числе основных проблем, и прогноз</w:t>
      </w:r>
      <w:r/>
    </w:p>
    <w:p>
      <w:pPr>
        <w:pStyle w:val="889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ее развития</w:t>
      </w:r>
      <w:r/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Отрасль жилищно-коммунального хозяйства области включает ресурсоснабжающие организации и организации коммунального комплекса, всего 26 организаций, в т.ч.: </w:t>
      </w:r>
      <w:r/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 сфере теплоснабжения – 17 организаций</w:t>
      </w:r>
      <w:r>
        <w:rPr>
          <w:sz w:val="28"/>
          <w:szCs w:val="28"/>
        </w:rPr>
        <w:t xml:space="preserve"> (1 муниципальное предприятие; 9 государственных предприятий; 3 - открытых акционерных обществ, акционерных обществ; 4 обществ с ограниченной ответственностью, в том числе 1 предприятие – на условиях концессионного соглашения).</w:t>
      </w:r>
      <w:r/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 сфере водоснабжения и водоотведения – 13 организаций                    </w:t>
      </w:r>
      <w:r>
        <w:rPr>
          <w:sz w:val="28"/>
          <w:szCs w:val="28"/>
        </w:rPr>
        <w:t xml:space="preserve">(4 муниципальных предприятия; 4 государственных предприятия; 5 обществ с ограниченной ответственностью).</w:t>
      </w:r>
      <w:r/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в сфере газоснабжения – 1 организация</w:t>
      </w:r>
      <w:r>
        <w:rPr>
          <w:sz w:val="28"/>
          <w:szCs w:val="28"/>
        </w:rPr>
        <w:t xml:space="preserve"> (акционерное общество).</w:t>
      </w:r>
      <w:r/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 сфере электроснабжения – 3 сетевых организации</w:t>
      </w:r>
      <w:r>
        <w:rPr>
          <w:sz w:val="28"/>
          <w:szCs w:val="28"/>
        </w:rPr>
        <w:t xml:space="preserve"> (акционерные общества, открытые акционерные общества).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Коммунальная инфраструктура характеризуется высоким уровнем износа объектов и технологической отсталостью, в частности: </w:t>
      </w:r>
      <w:r/>
    </w:p>
    <w:p>
      <w:pPr>
        <w:contextualSpacing/>
        <w:ind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котельные (находящиеся в областной и муниципальной собственности) – 109 единиц с износом 68,1%, 61 единица с износом более 80%.</w:t>
      </w:r>
      <w:r/>
    </w:p>
    <w:p>
      <w:pPr>
        <w:contextualSpacing/>
        <w:ind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тепловые сети – 281,48 км с износом – 61%. </w:t>
      </w:r>
      <w:r/>
    </w:p>
    <w:p>
      <w:pPr>
        <w:contextualSpacing/>
        <w:ind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водопроводные сети – 295,309 км с износом – 65%. </w:t>
      </w:r>
      <w:r/>
    </w:p>
    <w:p>
      <w:pPr>
        <w:contextualSpacing/>
        <w:ind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канализационные сети – 218,413 км с износом – 75% </w:t>
      </w:r>
      <w:r/>
    </w:p>
    <w:p>
      <w:pPr>
        <w:contextualSpacing/>
        <w:ind w:firstLine="709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канализационно-насосные станции – 54 единицы с износом – 64%;</w:t>
      </w:r>
      <w:r/>
    </w:p>
    <w:p>
      <w:pPr>
        <w:contextualSpacing/>
        <w:ind w:firstLine="709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водозаборы - 62 единицы с износом – 77,5%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Следствием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Уровень </w:t>
      </w:r>
      <w:r>
        <w:rPr>
          <w:szCs w:val="28"/>
        </w:rPr>
        <w:t xml:space="preserve">износа объектов коммунальной инфраструктуры составляет сегодня в среднем 64%.</w:t>
      </w:r>
      <w:r/>
    </w:p>
    <w:p>
      <w:pPr>
        <w:pStyle w:val="886"/>
        <w:ind w:left="0"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 оборудования котельных не соответствуют требованиям СП 89.13330.2016 «СНиП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-35-76 Котельные установки», утвержденных приказом </w:t>
      </w:r>
      <w:hyperlink r:id="rId16" w:tooltip="https://docs.cntd.ru/document/456049574" w:history="1">
        <w:r>
          <w:rPr>
            <w:rStyle w:val="875"/>
            <w:color w:val="auto"/>
            <w:sz w:val="28"/>
            <w:szCs w:val="28"/>
            <w:u w:val="none"/>
            <w:shd w:val="clear" w:color="auto" w:fill="ffffff"/>
          </w:rPr>
          <w:t xml:space="preserve">Министерства строительства и жилищно-коммунального хозяйства Российской Федерации от 16.12.2016 № 944/пр</w:t>
        </w:r>
      </w:hyperlink>
      <w:r>
        <w:rPr>
          <w:sz w:val="28"/>
          <w:szCs w:val="28"/>
        </w:rPr>
        <w:t xml:space="preserve">:</w:t>
      </w:r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полностью отсутствует оборудование водоподготовки и водно-химического режима (для паровых котлов) для систем теплоснабжения и горячего водоснабжения, питания паровых котлов, а также контроля качества воды и пара;</w:t>
      </w:r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подача угля в котельную и топку котлов не механизирована;</w:t>
      </w:r>
      <w:r/>
    </w:p>
    <w:p>
      <w:pPr>
        <w:contextualSpacing/>
        <w:ind w:firstLine="709"/>
        <w:spacing w:after="0" w:line="240" w:lineRule="auto"/>
        <w:widowControl w:val="off"/>
        <w:tabs>
          <w:tab w:val="left" w:pos="0" w:leader="none"/>
          <w:tab w:val="left" w:pos="993" w:leader="none"/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выгрузка шлака и золы котлов не механизирована;</w:t>
      </w:r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организованные накопители золошлаковых отходов (золоотвалы) отсутствуют в каждом поселении;</w:t>
      </w:r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основная масса котлов работает без дымососов на естественной тяге, что ограничивает тепловую нагрузку котлов;</w:t>
      </w:r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установками для очистки дымовых газов от золы оснащены менее половины котлов. Эффективность их работы крайне низка;</w:t>
      </w:r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контрольно-измерительными приборами котлы оснащены не в полной мере;</w:t>
      </w:r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автоматика и приборы безопасности, сигнализация, блокировка механизмов, автоматическое регулирование и контроль параметров работы котлов отсутствует;</w:t>
      </w:r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оперативно-диспетчерская, городская телефонная связь на большинстве котельных отсутствует;</w:t>
      </w:r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система приточной вентиляции котельных, установки пожаротушения отсутствуют;</w:t>
      </w:r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л) учёт энергоресурсов отсутствует.</w:t>
      </w:r>
      <w:r/>
    </w:p>
    <w:p>
      <w:pPr>
        <w:pStyle w:val="886"/>
        <w:ind w:left="0" w:firstLine="709"/>
        <w:jc w:val="both"/>
        <w:spacing w:after="0" w:line="240" w:lineRule="auto"/>
        <w:widowControl w:val="off"/>
        <w:tabs>
          <w:tab w:val="left" w:pos="0" w:leader="none"/>
          <w:tab w:val="left" w:pos="1276" w:leader="none"/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Здания ряда котельных находятся в аварийном состоянии (трещины в кирпичной кладке, разрушенный цоколь, протекающая кровля, дополнительные связки).</w:t>
      </w:r>
      <w:r/>
    </w:p>
    <w:p>
      <w:pPr>
        <w:pStyle w:val="886"/>
        <w:ind w:left="0" w:firstLine="709"/>
        <w:jc w:val="both"/>
        <w:spacing w:after="0" w:line="240" w:lineRule="auto"/>
        <w:widowControl w:val="off"/>
        <w:tabs>
          <w:tab w:val="left" w:pos="0" w:leader="none"/>
          <w:tab w:val="left" w:pos="1276" w:leader="none"/>
          <w:tab w:val="left" w:pos="170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Удельный расход условного топлива на выработку тепла составляет 0,24-0,25 т.у.т/Гкал что соответствует КПД котлов на уровне 57-60%. </w:t>
      </w:r>
      <w:r/>
    </w:p>
    <w:p>
      <w:pPr>
        <w:pStyle w:val="886"/>
        <w:ind w:left="0" w:firstLine="709"/>
        <w:jc w:val="both"/>
        <w:spacing w:after="0" w:line="240" w:lineRule="auto"/>
        <w:widowControl w:val="off"/>
        <w:tabs>
          <w:tab w:val="left" w:pos="0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Ряд котельных отапливает один-два дома (в основном социально-культурные объекты), что можно считать экономически неэффективным и неоправданным. 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Отмечается повсеместное несоответствие фактического объема инвестиций в модернизацию объектов коммунальной инфраструктуры минимальным их потреб</w:t>
      </w:r>
      <w:r>
        <w:rPr>
          <w:szCs w:val="28"/>
        </w:rPr>
        <w:t xml:space="preserve">ностям.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ведет к снижению надежности работы объектов коммунальной инфраструктуры.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Неэффективное использование природных ресурсов выражается в высоких потерях воды, тепловой и электрической энергии в процессе производства и транспортировки ресурсов до потребителей.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Вследствие износа объектов коммунальной инфраструктуры в области суммарные потери в тепловых сетях достигают 30% произведенной </w:t>
      </w:r>
      <w:r>
        <w:rPr>
          <w:szCs w:val="28"/>
        </w:rPr>
        <w:t xml:space="preserve">тепловой энергии. Потери, связанные с утечками теплоносителя из-за коррозии труб, составляют 10 - 15%. Ветхое состояние тепловых сетей становится причиной временного отключения от теплоснабжения жилых домов и объектов социального значения в зимние периоды.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В системе водоснабжения области утечки и неучтенный расход воды при транспортировке в системах водоснабжения в ряде населенных пунктов достигают 60% поданной в сеть воды.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Более 40% водопроводов с забором воды из подземных источников не имеют необходимого комплекса очистных сооружений и не обеспечивают полное обеззараживание и очистку воды в соответствии с требованиями, предъявляемыми к качеству питьевой воды.</w:t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сфере водоотведения области загрязнение окружающей среды связано с дефицитом мощностей по очистке канализационных стоков. </w:t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 существующих канализационных очистных соор</w:t>
      </w:r>
      <w:r>
        <w:rPr>
          <w:sz w:val="28"/>
          <w:szCs w:val="28"/>
        </w:rPr>
        <w:t xml:space="preserve">ужений 60% перегружены, многие эксплуатируются 25 - 30 и более лет и требуют срочной реконструкции. Как следствие, неочищенные или недостаточно очищенные сточные воды сбрасываются в открытые водоемы, что обостряет экологическую обстановку и снижает рекреац</w:t>
      </w:r>
      <w:r>
        <w:rPr>
          <w:sz w:val="28"/>
          <w:szCs w:val="28"/>
        </w:rPr>
        <w:t xml:space="preserve">ионную привлекательность водоемов. Также требуется новое строительство не менее 5 очистных сооружений канализации в пос. Амурзет, пос. Хинганск, с. Ленинское, с. Будукан, с. Птичник, где очистные сооружения отсутствуют, сброс стоков производится на рельеф.</w:t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модернизации объектов коммунальной инфраструктуры в области.</w:t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Модернизация объектов коммунальной инфраструктуры в области отвечает стратегическим интересам области и позволит:</w:t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обеспечить более комфортные условия проживания населения области путем повышения качества предоставления коммунальных услуг;</w:t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обеспечить более рациональное использование водных ресурсов;</w:t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улучшить экологическое состояние на территории области.</w:t>
      </w:r>
      <w:r/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numPr>
          <w:ilvl w:val="0"/>
          <w:numId w:val="1"/>
        </w:numPr>
        <w:jc w:val="center"/>
        <w:rPr>
          <w:rFonts w:cs="Times New Roman"/>
          <w:b w:val="0"/>
          <w:sz w:val="28"/>
          <w:szCs w:val="28"/>
        </w:rPr>
        <w:outlineLvl w:val="1"/>
      </w:pPr>
      <w:r>
        <w:rPr>
          <w:rFonts w:cs="Times New Roman"/>
          <w:b w:val="0"/>
          <w:sz w:val="28"/>
          <w:szCs w:val="28"/>
        </w:rPr>
        <w:t xml:space="preserve">Приоритеты государственной политики в сфере</w:t>
      </w:r>
      <w:r/>
    </w:p>
    <w:p>
      <w:pPr>
        <w:pStyle w:val="889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реализации программы, цели и задачи</w:t>
      </w:r>
      <w:r/>
    </w:p>
    <w:p>
      <w:pPr>
        <w:pStyle w:val="889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программы</w:t>
      </w:r>
      <w:r/>
    </w:p>
    <w:p>
      <w:pPr>
        <w:pStyle w:val="889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Приоритетами жилищной политики области является обеспечение комфортных условий проживания и доступности коммунальных услуг для населения в соответствии с </w:t>
      </w:r>
      <w:hyperlink r:id="rId17" w:tooltip="consultantplus://offline/ref=EFC6B62FC82C707DC83288F8D442FD70A7DD9D309B49395E545AEF6BDA588F8B6E53A0ABE2DBCF9E1205289546i433W" w:history="1">
        <w:r>
          <w:rPr>
            <w:sz w:val="28"/>
            <w:szCs w:val="28"/>
          </w:rPr>
          <w:t xml:space="preserve">Указом</w:t>
        </w:r>
      </w:hyperlink>
      <w:r>
        <w:rPr>
          <w:sz w:val="28"/>
          <w:szCs w:val="28"/>
        </w:rPr>
        <w:t xml:space="preserve"> Президента Российской Федерации от 07.05.2012 № 600 «О мерах по обеспечению граждан Российской Федерации </w:t>
      </w:r>
      <w:r>
        <w:rPr>
          <w:sz w:val="28"/>
          <w:szCs w:val="28"/>
        </w:rPr>
        <w:t xml:space="preserve">доступным и комфортным жильем и повышению качества жилищно-ко</w:t>
      </w:r>
      <w:r>
        <w:rPr>
          <w:sz w:val="28"/>
          <w:szCs w:val="28"/>
        </w:rPr>
        <w:t xml:space="preserve">ммунальных услуг», достижение показателей 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№ 1710. 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Основными целями программы являются: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- снижение потерь коммунальных ресурсов;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- установление экономически обоснованных тарифов на коммунальные услуги;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- обеспечение предоставления качественных коммунальных услуг посредством реконструкции существующих и строительства новы</w:t>
      </w:r>
      <w:r>
        <w:rPr>
          <w:szCs w:val="28"/>
        </w:rPr>
        <w:t xml:space="preserve">х объектов жилищно-коммунального комплекса на территории муниципальных образований области для повышения их надежности, качества и энергетической эффективности, снижения эксплуатационных издержек, увеличения надежности и качества обслуживания потребителей;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- привлечение инвестиционных ресурсов за счет тарифных и иных источников, эффективное освоение привлекаемых инвестиций;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улучшение качества </w:t>
      </w:r>
      <w:hyperlink r:id="rId18" w:tooltip="Питьевая вода" w:history="1">
        <w:r>
          <w:rPr>
            <w:sz w:val="28"/>
            <w:szCs w:val="28"/>
          </w:rPr>
          <w:t xml:space="preserve">питьевой воды</w:t>
        </w:r>
      </w:hyperlink>
      <w:r>
        <w:rPr>
          <w:sz w:val="28"/>
          <w:szCs w:val="28"/>
        </w:rPr>
        <w:t xml:space="preserve">, подаваемой населению, и доведение услуги по водоснабжению до уровня, отвечающего потребностям жизнедеятельности человека;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- повышение качества управления объектами коммунальной инфраструктуры.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Для достижения поставленной цели необходимо решение следующих задач:</w:t>
      </w:r>
      <w:r/>
    </w:p>
    <w:p>
      <w:pPr>
        <w:pStyle w:val="888"/>
        <w:ind w:firstLine="709"/>
        <w:jc w:val="both"/>
        <w:rPr>
          <w:szCs w:val="24"/>
        </w:rPr>
      </w:pPr>
      <w:r>
        <w:rPr>
          <w:szCs w:val="24"/>
        </w:rPr>
        <w:t xml:space="preserve">- 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комфортных условий для проживания населения;</w:t>
      </w:r>
      <w:r/>
    </w:p>
    <w:p>
      <w:pPr>
        <w:pStyle w:val="888"/>
        <w:ind w:firstLine="709"/>
        <w:jc w:val="both"/>
        <w:rPr>
          <w:szCs w:val="24"/>
        </w:rPr>
      </w:pPr>
      <w:r>
        <w:rPr>
          <w:szCs w:val="24"/>
        </w:rPr>
        <w:t xml:space="preserve">- создание условий для развития сетевой инфраструктуры и генерирующих мощностей;</w:t>
      </w:r>
      <w:r/>
    </w:p>
    <w:p>
      <w:pPr>
        <w:pStyle w:val="888"/>
        <w:ind w:firstLine="709"/>
        <w:jc w:val="both"/>
        <w:rPr>
          <w:szCs w:val="24"/>
        </w:rPr>
      </w:pPr>
      <w:r>
        <w:rPr>
          <w:szCs w:val="24"/>
        </w:rPr>
        <w:t xml:space="preserve">- расширение практики применения энергосберегающих технологий при модернизации, реконструкции и капитальном ремонте объектов </w:t>
      </w:r>
      <w:r>
        <w:rPr>
          <w:szCs w:val="28"/>
        </w:rPr>
        <w:t xml:space="preserve">жилищно-коммунального комплекса </w:t>
      </w:r>
      <w:r>
        <w:rPr>
          <w:szCs w:val="24"/>
        </w:rPr>
        <w:t xml:space="preserve">на территории области.</w:t>
      </w:r>
      <w:r/>
    </w:p>
    <w:p>
      <w:pPr>
        <w:pStyle w:val="888"/>
        <w:ind w:firstLine="540"/>
        <w:jc w:val="both"/>
      </w:pPr>
      <w:r>
        <w:t xml:space="preserve">Значение показателя «Увеличение численности населения, для которого улучшится качество коммунальных услуг» в 2023 году равен </w:t>
      </w:r>
      <w:r>
        <w:t xml:space="preserve">31572</w:t>
      </w:r>
      <w:r>
        <w:t xml:space="preserve"> человек</w:t>
      </w:r>
      <w:r>
        <w:t xml:space="preserve">а</w:t>
      </w:r>
      <w:r>
        <w:t xml:space="preserve">, что составляет </w:t>
      </w:r>
      <w:r>
        <w:t xml:space="preserve">21 </w:t>
      </w:r>
      <w:r>
        <w:t xml:space="preserve">% от общего числа проживающих на территории Еврейской автономной области. В 2024 году показатель увеличивается по сравнени</w:t>
      </w:r>
      <w:r>
        <w:t xml:space="preserve">ю с предшествующим годом на 48</w:t>
      </w:r>
      <w:r>
        <w:t xml:space="preserve"> %</w:t>
      </w:r>
      <w:r>
        <w:t xml:space="preserve"> от общего числа проживающих на территории Еврейской автономной области</w:t>
      </w:r>
      <w:r>
        <w:t xml:space="preserve">, и составит </w:t>
      </w:r>
      <w:r>
        <w:t xml:space="preserve">67292</w:t>
      </w:r>
      <w:r>
        <w:t xml:space="preserve"> человек</w:t>
      </w:r>
      <w:r>
        <w:t xml:space="preserve">а</w:t>
      </w:r>
      <w:r>
        <w:t xml:space="preserve">.</w:t>
      </w:r>
      <w:r/>
    </w:p>
    <w:p>
      <w:pPr>
        <w:pStyle w:val="888"/>
        <w:ind w:left="6" w:firstLine="709"/>
        <w:jc w:val="both"/>
        <w:rPr>
          <w:szCs w:val="24"/>
        </w:rPr>
      </w:pPr>
      <w:r>
        <w:rPr>
          <w:szCs w:val="24"/>
        </w:rPr>
        <w:t xml:space="preserve">Согласно методики расчета показателя «Увеличение протяженности замены инженерных сетей», на территории Еврейской автономной облас</w:t>
      </w:r>
      <w:r>
        <w:rPr>
          <w:szCs w:val="24"/>
        </w:rPr>
        <w:t xml:space="preserve">ти данный параметр равен 77,10</w:t>
      </w:r>
      <w:r>
        <w:rPr>
          <w:szCs w:val="24"/>
        </w:rPr>
        <w:t xml:space="preserve"> километра участков сетей теплоснабжения, водоснабжения, водоотведения в отношении которых в рамках региональной программы выполнены мероприятия по их строительству, реконструкции, </w:t>
      </w:r>
      <w:r>
        <w:rPr>
          <w:szCs w:val="24"/>
        </w:rPr>
        <w:t xml:space="preserve">капитальному ремонту.</w:t>
      </w:r>
      <w:r/>
    </w:p>
    <w:p>
      <w:pPr>
        <w:pStyle w:val="888"/>
        <w:ind w:left="6" w:firstLine="709"/>
        <w:jc w:val="both"/>
        <w:rPr>
          <w:szCs w:val="24"/>
        </w:rPr>
      </w:pPr>
      <w:r>
        <w:rPr>
          <w:szCs w:val="24"/>
        </w:rPr>
        <w:t xml:space="preserve">В 2023 году показатель достигает отметки 18,61 километр.</w:t>
      </w:r>
      <w:r/>
    </w:p>
    <w:p>
      <w:pPr>
        <w:pStyle w:val="888"/>
        <w:ind w:left="6" w:firstLine="709"/>
        <w:jc w:val="both"/>
        <w:rPr>
          <w:szCs w:val="24"/>
        </w:rPr>
      </w:pPr>
      <w:r>
        <w:rPr>
          <w:szCs w:val="24"/>
        </w:rPr>
        <w:t xml:space="preserve">В 2024 году по</w:t>
      </w:r>
      <w:r>
        <w:rPr>
          <w:szCs w:val="24"/>
        </w:rPr>
        <w:t xml:space="preserve">казатель достигает отметки 58,49</w:t>
      </w:r>
      <w:r>
        <w:rPr>
          <w:szCs w:val="24"/>
        </w:rPr>
        <w:t xml:space="preserve"> километра.</w:t>
      </w:r>
      <w:r/>
    </w:p>
    <w:p>
      <w:pPr>
        <w:pStyle w:val="888"/>
        <w:ind w:left="6" w:firstLine="709"/>
        <w:jc w:val="both"/>
        <w:rPr>
          <w:szCs w:val="24"/>
        </w:rPr>
      </w:pPr>
      <w:r>
        <w:rPr>
          <w:szCs w:val="24"/>
        </w:rPr>
        <w:t xml:space="preserve">Прогнозное значение целевого показателя «Снижение аварийности коммунальной инфраструктуры» по итогам реализации региональной программы в 2023 году равен </w:t>
      </w:r>
      <w:r>
        <w:rPr>
          <w:szCs w:val="28"/>
        </w:rPr>
        <w:t xml:space="preserve">-3,4</w:t>
      </w:r>
      <w:r>
        <w:rPr>
          <w:szCs w:val="24"/>
        </w:rPr>
        <w:t xml:space="preserve">. В 2024 году прогнозное зна</w:t>
      </w:r>
      <w:r>
        <w:rPr>
          <w:szCs w:val="24"/>
        </w:rPr>
        <w:t xml:space="preserve">чение показателя достигает -6,9</w:t>
      </w:r>
      <w:r>
        <w:rPr>
          <w:szCs w:val="24"/>
        </w:rPr>
        <w:t xml:space="preserve">.</w:t>
      </w:r>
      <w:r/>
    </w:p>
    <w:p>
      <w:pPr>
        <w:pStyle w:val="888"/>
        <w:ind w:left="6" w:firstLine="709"/>
        <w:jc w:val="both"/>
        <w:rPr>
          <w:szCs w:val="24"/>
        </w:rPr>
      </w:pPr>
      <w:r>
        <w:rPr>
          <w:szCs w:val="24"/>
        </w:rPr>
      </w:r>
      <w:r/>
    </w:p>
    <w:p>
      <w:pPr>
        <w:pStyle w:val="888"/>
        <w:numPr>
          <w:ilvl w:val="0"/>
          <w:numId w:val="1"/>
        </w:numPr>
        <w:jc w:val="center"/>
      </w:pPr>
      <w:r>
        <w:t xml:space="preserve">Обобщенная характеристика основных мероприятий</w:t>
      </w:r>
      <w:r/>
    </w:p>
    <w:p>
      <w:pPr>
        <w:pStyle w:val="888"/>
        <w:jc w:val="both"/>
      </w:pPr>
      <w:r/>
      <w:r/>
    </w:p>
    <w:p>
      <w:pPr>
        <w:pStyle w:val="888"/>
        <w:ind w:firstLine="709"/>
        <w:jc w:val="both"/>
      </w:pPr>
      <w:r>
        <w:t xml:space="preserve">Основные мероприятия представляют в совокупности комплекс взаимосвязанных мер по модернизации объектов коммунальной инфраструктуры в области.</w:t>
      </w:r>
      <w:r/>
    </w:p>
    <w:p>
      <w:pPr>
        <w:pStyle w:val="888"/>
        <w:ind w:firstLine="540"/>
        <w:jc w:val="both"/>
      </w:pPr>
      <w:r/>
      <w:r/>
    </w:p>
    <w:p>
      <w:pPr>
        <w:pStyle w:val="888"/>
        <w:ind w:firstLine="709"/>
        <w:jc w:val="center"/>
      </w:pPr>
      <w:r>
        <w:t xml:space="preserve">4.1. Сфера теплоснабжения</w:t>
      </w:r>
      <w:r/>
    </w:p>
    <w:p>
      <w:pPr>
        <w:pStyle w:val="888"/>
        <w:ind w:firstLine="709"/>
        <w:jc w:val="center"/>
      </w:pPr>
      <w:r/>
      <w:r/>
    </w:p>
    <w:p>
      <w:pPr>
        <w:pStyle w:val="888"/>
        <w:ind w:firstLine="709"/>
        <w:jc w:val="both"/>
        <w:rPr>
          <w:szCs w:val="19"/>
        </w:rPr>
      </w:pPr>
      <w:r>
        <w:t xml:space="preserve">В сфере теплоснабжения предлагается модернизация и капитальный ремонт отдельных объектов (13 единиц) с привлечением финансирования из федерального бюджета. </w:t>
      </w:r>
      <w:r/>
    </w:p>
    <w:p>
      <w:pPr>
        <w:pStyle w:val="888"/>
        <w:ind w:firstLine="709"/>
        <w:jc w:val="both"/>
        <w:rPr>
          <w:szCs w:val="19"/>
        </w:rPr>
      </w:pPr>
      <w:r>
        <w:rPr>
          <w:szCs w:val="19"/>
        </w:rPr>
        <w:t xml:space="preserve">Вследствие износа объектов коммунальной инфраструктуры суммарные потери в </w:t>
      </w:r>
      <w:r>
        <w:rPr>
          <w:rStyle w:val="896"/>
          <w:szCs w:val="19"/>
        </w:rPr>
        <w:t xml:space="preserve">тепло</w:t>
      </w:r>
      <w:r>
        <w:rPr>
          <w:szCs w:val="19"/>
        </w:rPr>
        <w:t xml:space="preserve">вых сетях достигают 30 процентов произведенной </w:t>
      </w:r>
      <w:r>
        <w:rPr>
          <w:rStyle w:val="896"/>
          <w:szCs w:val="19"/>
        </w:rPr>
        <w:t xml:space="preserve">тепло</w:t>
      </w:r>
      <w:r>
        <w:rPr>
          <w:szCs w:val="19"/>
        </w:rPr>
        <w:t xml:space="preserve">вой энергии. Потери, связанные с утечками </w:t>
      </w:r>
      <w:r>
        <w:rPr>
          <w:rStyle w:val="896"/>
          <w:szCs w:val="19"/>
        </w:rPr>
        <w:t xml:space="preserve">тепло</w:t>
      </w:r>
      <w:r>
        <w:rPr>
          <w:szCs w:val="19"/>
        </w:rPr>
        <w:t xml:space="preserve">носителя из-за коррозии труб, составляют 10 - 15 процентов.</w:t>
      </w:r>
      <w:r/>
    </w:p>
    <w:p>
      <w:pPr>
        <w:pStyle w:val="888"/>
        <w:ind w:firstLine="709"/>
        <w:jc w:val="both"/>
        <w:rPr>
          <w:szCs w:val="19"/>
        </w:rPr>
      </w:pPr>
      <w:r>
        <w:rPr>
          <w:szCs w:val="19"/>
        </w:rPr>
        <w:t xml:space="preserve">Ветхое состояние </w:t>
      </w:r>
      <w:r>
        <w:rPr>
          <w:rStyle w:val="896"/>
          <w:szCs w:val="19"/>
        </w:rPr>
        <w:t xml:space="preserve">тепло</w:t>
      </w:r>
      <w:r>
        <w:rPr>
          <w:szCs w:val="19"/>
        </w:rPr>
        <w:t xml:space="preserve">вых сетей становится причиной временного отключения от </w:t>
      </w:r>
      <w:r>
        <w:rPr>
          <w:rStyle w:val="896"/>
          <w:szCs w:val="19"/>
        </w:rPr>
        <w:t xml:space="preserve">тепло</w:t>
      </w:r>
      <w:r>
        <w:rPr>
          <w:szCs w:val="19"/>
        </w:rPr>
        <w:t xml:space="preserve">снабжения жилых домов и объектов социального значения в зимние периоды.</w:t>
      </w:r>
      <w:r/>
    </w:p>
    <w:p>
      <w:pPr>
        <w:pStyle w:val="888"/>
        <w:ind w:firstLine="709"/>
        <w:jc w:val="both"/>
        <w:rPr>
          <w:szCs w:val="19"/>
        </w:rPr>
      </w:pPr>
      <w:r>
        <w:t xml:space="preserve">Т.к. системы теплоснабжения области характеризуются высоким уровнем износа, высокими потерями, а также большим уровнем затрат на эксплуатацию тепловых сетей, для комплексной модернизации в муниципальных образованиях области необходимо выполнить:</w:t>
      </w:r>
      <w:r/>
    </w:p>
    <w:p>
      <w:pPr>
        <w:pStyle w:val="888"/>
        <w:jc w:val="both"/>
      </w:pPr>
      <w:r>
        <w:t xml:space="preserve">- реконструкцию сетей теплоснабжения в г. Биробиджан;</w:t>
      </w:r>
      <w:r/>
    </w:p>
    <w:p>
      <w:pPr>
        <w:pStyle w:val="888"/>
        <w:jc w:val="both"/>
      </w:pPr>
      <w:r>
        <w:t xml:space="preserve">- строительство участка тепловой сети  в г. Биробиджан;</w:t>
      </w:r>
      <w:r/>
    </w:p>
    <w:p>
      <w:pPr>
        <w:pStyle w:val="888"/>
        <w:jc w:val="both"/>
      </w:pPr>
      <w:r>
        <w:t xml:space="preserve">- реконструкцию участков теплоснабжения пгт. Смидович;</w:t>
      </w:r>
      <w:r/>
    </w:p>
    <w:p>
      <w:pPr>
        <w:pStyle w:val="888"/>
        <w:jc w:val="both"/>
      </w:pPr>
      <w:r>
        <w:t xml:space="preserve">- реконструкцию сетей теплоснабжения в с. Птичник;</w:t>
      </w:r>
      <w:r/>
    </w:p>
    <w:p>
      <w:pPr>
        <w:pStyle w:val="888"/>
        <w:jc w:val="both"/>
      </w:pPr>
      <w:r>
        <w:t xml:space="preserve">- реконструкцию сетей теплоснабжения с. Бирофельд;</w:t>
      </w:r>
      <w:r/>
    </w:p>
    <w:p>
      <w:pPr>
        <w:pStyle w:val="888"/>
        <w:jc w:val="both"/>
      </w:pPr>
      <w:r>
        <w:t xml:space="preserve">- реконструкцию теплотрассы от котельной «Солнечная» и спутникового трубопровода системы водоснабжения г. Облучье;</w:t>
      </w:r>
      <w:r/>
    </w:p>
    <w:p>
      <w:pPr>
        <w:pStyle w:val="888"/>
        <w:jc w:val="both"/>
      </w:pPr>
      <w:r>
        <w:t xml:space="preserve">- реконструкцию тепловой сети котельная «Центральная» пгт. Бира;</w:t>
      </w:r>
      <w:r/>
    </w:p>
    <w:p>
      <w:pPr>
        <w:pStyle w:val="888"/>
        <w:jc w:val="both"/>
      </w:pPr>
      <w:r>
        <w:t xml:space="preserve">- замена трасс теплоснабжения Приамурского ГП;</w:t>
      </w:r>
      <w:r/>
    </w:p>
    <w:p>
      <w:pPr>
        <w:pStyle w:val="888"/>
        <w:jc w:val="both"/>
      </w:pPr>
      <w:r>
        <w:t xml:space="preserve">- модернизацию сетей теплоснабжения в пос. Волочаевка-2.</w:t>
      </w:r>
      <w:r/>
    </w:p>
    <w:p>
      <w:pPr>
        <w:pStyle w:val="888"/>
        <w:ind w:firstLine="709"/>
        <w:jc w:val="both"/>
      </w:pPr>
      <w:r/>
      <w:r/>
    </w:p>
    <w:p>
      <w:pPr>
        <w:pStyle w:val="888"/>
        <w:contextualSpacing/>
        <w:jc w:val="center"/>
        <w:rPr>
          <w:bCs/>
        </w:rPr>
      </w:pPr>
      <w:r>
        <w:rPr>
          <w:bCs/>
        </w:rPr>
        <w:t xml:space="preserve">4.2. Сфера водоснабжения, водоотведения</w:t>
      </w:r>
      <w:r/>
    </w:p>
    <w:p>
      <w:pPr>
        <w:pStyle w:val="888"/>
        <w:contextualSpacing/>
        <w:jc w:val="center"/>
        <w:rPr>
          <w:bCs/>
        </w:rPr>
      </w:pPr>
      <w:r>
        <w:rPr>
          <w:bCs/>
        </w:rPr>
      </w:r>
      <w:r/>
    </w:p>
    <w:p>
      <w:pPr>
        <w:pStyle w:val="888"/>
        <w:ind w:firstLine="709"/>
        <w:jc w:val="both"/>
      </w:pPr>
      <w:r>
        <w:t xml:space="preserve">В сфере водоснабжения, водоотведения предлагается модернизация и капитальный ремонт отдельных объектов (8 единиц) с привлечением </w:t>
      </w:r>
      <w:r>
        <w:t xml:space="preserve">финансирования из федерального бюджета. </w:t>
      </w:r>
      <w:r/>
    </w:p>
    <w:p>
      <w:pPr>
        <w:pStyle w:val="888"/>
        <w:contextualSpacing/>
        <w:ind w:firstLine="709"/>
        <w:jc w:val="both"/>
        <w:rPr>
          <w:bCs/>
        </w:rPr>
      </w:pPr>
      <w:r>
        <w:t xml:space="preserve">Ввиду сильной изношенности систем водоотведения (дюкера) в муниципальном образовании </w:t>
      </w:r>
      <w:r>
        <w:rPr>
          <w:bCs/>
        </w:rPr>
        <w:t xml:space="preserve">«</w:t>
      </w:r>
      <w:r>
        <w:t xml:space="preserve">Город Биробиджан</w:t>
      </w:r>
      <w:r>
        <w:rPr>
          <w:bCs/>
        </w:rPr>
        <w:t xml:space="preserve">»</w:t>
      </w:r>
      <w:r>
        <w:t xml:space="preserve"> области и канализационного коллектора в с. Амурзет Октябрьского муниципального района области возможны серьезные перебои в работе указанных систем и аварии.</w:t>
      </w:r>
      <w:r/>
    </w:p>
    <w:p>
      <w:pPr>
        <w:pStyle w:val="888"/>
        <w:contextualSpacing/>
        <w:ind w:firstLine="709"/>
        <w:jc w:val="both"/>
        <w:rPr>
          <w:bCs/>
        </w:rPr>
      </w:pPr>
      <w:r>
        <w:rPr>
          <w:bCs/>
        </w:rPr>
        <w:t xml:space="preserve">По итогам проведенного анализа высокая доля проб питьевой воды, не соответствующих установленным треб</w:t>
      </w:r>
      <w:r>
        <w:rPr>
          <w:bCs/>
        </w:rPr>
        <w:t xml:space="preserve">ованиям, перед поступлением в распределительную сеть и в самой водопроводной сети наблюдается на территории Смидовичского, Биробиджанского муниципальных районов области. Итоги инвентаризации показали, что в Смидовичском муниципальном районе области в трех </w:t>
      </w:r>
      <w:r>
        <w:rPr>
          <w:bCs/>
        </w:rPr>
        <w:t xml:space="preserve">населенных пунктах доля проб питьевой воды, не соответствующих установленным требованиям по санитарно-химическим показателям и по микробиологическим показателям, стремится к 100 %, в двух населенных пунктах – показатели близки к 75 %. В Биробиджанском муни</w:t>
      </w:r>
      <w:r>
        <w:rPr>
          <w:bCs/>
        </w:rPr>
        <w:t xml:space="preserve">ципальном районе области в одном населенном пункте доля проб питьевой воды, не соответствующих установленным требованиям по санитарно-химическим показателям и по микробиологическим показателям, достигает 100 %, в трех населенных пунктах – стремится к 92 %.</w:t>
      </w:r>
      <w:r/>
    </w:p>
    <w:p>
      <w:pPr>
        <w:pStyle w:val="888"/>
        <w:contextualSpacing/>
        <w:ind w:firstLine="709"/>
        <w:jc w:val="both"/>
        <w:rPr>
          <w:bCs/>
        </w:rPr>
      </w:pPr>
      <w:r>
        <w:rPr>
          <w:bCs/>
        </w:rPr>
        <w:t xml:space="preserve">Кроме того, в двух населенных пунктах Облученского муниципального района области необходимо обустройство систем водоснабжения, которых в настоящее время не имеется.</w:t>
      </w:r>
      <w:r/>
    </w:p>
    <w:p>
      <w:pPr>
        <w:pStyle w:val="888"/>
        <w:contextualSpacing/>
        <w:ind w:firstLine="709"/>
        <w:jc w:val="both"/>
      </w:pPr>
      <w:r>
        <w:t xml:space="preserve">В указанных муниципальных образованиях области необходимо выполнить:</w:t>
      </w:r>
      <w:r/>
    </w:p>
    <w:p>
      <w:pPr>
        <w:pStyle w:val="888"/>
        <w:contextualSpacing/>
        <w:ind w:firstLine="709"/>
        <w:jc w:val="both"/>
      </w:pPr>
      <w:r>
        <w:t xml:space="preserve">- капитальный ремонт канализационного коллектора в с. Амурзет</w:t>
      </w:r>
      <w:r>
        <w:t xml:space="preserve"> </w:t>
      </w:r>
      <w:r>
        <w:t xml:space="preserve">Октябрьского муниципального района области;</w:t>
      </w:r>
      <w:r/>
    </w:p>
    <w:p>
      <w:pPr>
        <w:pStyle w:val="888"/>
        <w:contextualSpacing/>
        <w:ind w:firstLine="709"/>
        <w:jc w:val="both"/>
      </w:pPr>
      <w:r>
        <w:t xml:space="preserve">- капитальный ремонт дюкера системы водоотведения в муниципальном образовании </w:t>
      </w:r>
      <w:r>
        <w:rPr>
          <w:bCs/>
        </w:rPr>
        <w:t xml:space="preserve">«</w:t>
      </w:r>
      <w:r>
        <w:t xml:space="preserve">Город Биробиджан</w:t>
      </w:r>
      <w:r>
        <w:rPr>
          <w:bCs/>
        </w:rPr>
        <w:t xml:space="preserve">»</w:t>
      </w:r>
      <w:r>
        <w:t xml:space="preserve"> области;</w:t>
      </w:r>
      <w:r/>
    </w:p>
    <w:p>
      <w:pPr>
        <w:pStyle w:val="888"/>
        <w:contextualSpacing/>
        <w:ind w:firstLine="709"/>
        <w:jc w:val="both"/>
        <w:rPr>
          <w:szCs w:val="28"/>
        </w:rPr>
      </w:pPr>
      <w:r>
        <w:rPr>
          <w:szCs w:val="28"/>
        </w:rPr>
        <w:t xml:space="preserve">- устройство системы водоснабжения вс. Радде Облученского муниципального района области;</w:t>
      </w:r>
      <w:r/>
    </w:p>
    <w:p>
      <w:pPr>
        <w:pStyle w:val="888"/>
        <w:contextualSpacing/>
        <w:ind w:firstLine="709"/>
        <w:jc w:val="both"/>
        <w:rPr>
          <w:szCs w:val="28"/>
        </w:rPr>
      </w:pPr>
      <w:r>
        <w:rPr>
          <w:szCs w:val="28"/>
        </w:rPr>
        <w:t xml:space="preserve">- устройство системы водоснабжения в с. Будукан</w:t>
      </w:r>
      <w:r>
        <w:rPr>
          <w:szCs w:val="28"/>
        </w:rPr>
        <w:t xml:space="preserve"> </w:t>
      </w:r>
      <w:r>
        <w:rPr>
          <w:szCs w:val="28"/>
        </w:rPr>
        <w:t xml:space="preserve">Облученского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района области;</w:t>
      </w:r>
      <w:r/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в сфере водоснабжения и водоотведения в области позволит обеспечить более комфортные условия проживания населения, улучшить экологическое состояние на территории области в шести населенных пунктах. </w:t>
      </w:r>
      <w:r/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Путем повышения качества предоставления коммунальных услуг, будет обеспечено более рациональное использование водных ресурсов.</w:t>
      </w:r>
      <w:r/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четырех населенных пунктах (с. Радде, с. Будукан, пос.</w:t>
      </w:r>
      <w:r>
        <w:t xml:space="preserve">  </w:t>
      </w:r>
      <w:r>
        <w:rPr>
          <w:sz w:val="28"/>
          <w:szCs w:val="28"/>
        </w:rPr>
        <w:t xml:space="preserve">Смидович,               с. Валдгейм) снизится доля потерь воды в централизованных системах водоснабжения при транспортировке в общем объеме воды, поданной в водопроводную сеть, в общем с 24,28 % до</w:t>
      </w:r>
      <w:r>
        <w:t xml:space="preserve"> </w:t>
      </w:r>
      <w:r>
        <w:rPr>
          <w:sz w:val="28"/>
          <w:szCs w:val="28"/>
        </w:rPr>
        <w:t xml:space="preserve">0</w:t>
      </w:r>
      <w:r>
        <w:t xml:space="preserve"> </w:t>
      </w:r>
      <w:r>
        <w:rPr>
          <w:sz w:val="28"/>
          <w:szCs w:val="28"/>
        </w:rPr>
        <w:t xml:space="preserve">%.</w:t>
      </w:r>
      <w:r/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двух населенных пунктах снизится удельное количество аварий и засоров с 8,29 % до 6,80 %, а также снизится доля проб сточных вод, не </w:t>
      </w:r>
      <w:r>
        <w:rPr>
          <w:sz w:val="28"/>
          <w:szCs w:val="28"/>
        </w:rPr>
        <w:t xml:space="preserve">соответствующих установленным нормативам допустимых сбросов, лимитам на сбросы, с 55,11 % до 0%. </w:t>
      </w:r>
      <w:r/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данных мероприятий в этих населенных пунктах позволит стабилизировать давление воды в водопроводе и избежать гидроудара, а также уменьшить количество перерывов в подаче воды, зафиксированных в местах исполнения о</w:t>
      </w:r>
      <w:r>
        <w:rPr>
          <w:sz w:val="28"/>
          <w:szCs w:val="28"/>
        </w:rPr>
        <w:t xml:space="preserve">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с 16 ед/км до 0 ед/км сетей.</w:t>
      </w:r>
      <w:r/>
    </w:p>
    <w:p>
      <w:pPr>
        <w:pStyle w:val="888"/>
        <w:contextualSpacing/>
        <w:ind w:firstLine="709"/>
        <w:jc w:val="both"/>
      </w:pPr>
      <w:r>
        <w:rPr>
          <w:bCs/>
        </w:rPr>
        <w:t xml:space="preserve">Т.к. в целом системы водоснабжения, водоотведения области характеризуются высоким уровнем износа, низким качеством воды, высокими потерями, для комплексной модернизации во всех муниципальных образованиях области необходимо </w:t>
      </w:r>
      <w:r>
        <w:t xml:space="preserve">выполнить:</w:t>
      </w:r>
      <w:r/>
    </w:p>
    <w:p>
      <w:pPr>
        <w:pStyle w:val="888"/>
        <w:contextualSpacing/>
        <w:ind w:firstLine="709"/>
      </w:pPr>
      <w:r>
        <w:t xml:space="preserve">- реконструкцию сетей водоснабжения, зонирование и гидравлическое моделирование;</w:t>
      </w:r>
      <w:r/>
    </w:p>
    <w:p>
      <w:pPr>
        <w:pStyle w:val="888"/>
        <w:contextualSpacing/>
        <w:ind w:firstLine="709"/>
      </w:pPr>
      <w:r>
        <w:t xml:space="preserve">- реконструкцию водозаборов и станций водоподготовки;</w:t>
      </w:r>
      <w:r/>
    </w:p>
    <w:p>
      <w:pPr>
        <w:pStyle w:val="888"/>
        <w:contextualSpacing/>
        <w:ind w:firstLine="709"/>
      </w:pPr>
      <w:r>
        <w:t xml:space="preserve">- автоматизацию производственных процессов.</w:t>
      </w:r>
      <w:r/>
    </w:p>
    <w:p>
      <w:pPr>
        <w:pStyle w:val="888"/>
        <w:contextualSpacing/>
        <w:ind w:firstLine="709"/>
        <w:jc w:val="both"/>
      </w:pPr>
      <w:r>
        <w:t xml:space="preserve">- строительство очистных сооружений канализации в малых населенных пунктах;</w:t>
      </w:r>
      <w:r/>
    </w:p>
    <w:p>
      <w:pPr>
        <w:pStyle w:val="888"/>
        <w:contextualSpacing/>
        <w:ind w:firstLine="709"/>
        <w:jc w:val="both"/>
      </w:pPr>
      <w:r>
        <w:t xml:space="preserve">- реконструкцию канализационных насосных станций;</w:t>
      </w:r>
      <w:r/>
    </w:p>
    <w:p>
      <w:pPr>
        <w:pStyle w:val="888"/>
        <w:contextualSpacing/>
        <w:ind w:firstLine="709"/>
        <w:jc w:val="both"/>
      </w:pPr>
      <w:r>
        <w:t xml:space="preserve">- реконструкцию сетей водоотведения, зонирование и гидравлическое моделирование.</w:t>
      </w:r>
      <w:r/>
    </w:p>
    <w:p>
      <w:pPr>
        <w:pStyle w:val="888"/>
        <w:contextualSpacing/>
        <w:ind w:firstLine="709"/>
        <w:jc w:val="both"/>
      </w:pPr>
      <w:r>
        <w:t xml:space="preserve">- реализация мероприятий планируется путем заключения концессионных соглашений.</w:t>
      </w:r>
      <w:r/>
    </w:p>
    <w:p>
      <w:pPr>
        <w:ind w:firstLine="0"/>
        <w:jc w:val="both"/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/>
    </w:p>
    <w:p>
      <w:pPr>
        <w:pStyle w:val="888"/>
        <w:numPr>
          <w:ilvl w:val="0"/>
          <w:numId w:val="1"/>
        </w:numPr>
        <w:jc w:val="center"/>
        <w:rPr>
          <w:szCs w:val="28"/>
        </w:rPr>
      </w:pPr>
      <w:r>
        <w:t xml:space="preserve">Ресурсное обеспечение</w:t>
      </w:r>
      <w:r/>
    </w:p>
    <w:p>
      <w:pPr>
        <w:pStyle w:val="888"/>
        <w:jc w:val="center"/>
        <w:rPr>
          <w:b/>
          <w:szCs w:val="28"/>
        </w:rPr>
      </w:pPr>
      <w:r>
        <w:rPr>
          <w:b/>
          <w:szCs w:val="28"/>
        </w:rPr>
      </w:r>
      <w:r/>
    </w:p>
    <w:p>
      <w:pPr>
        <w:pStyle w:val="888"/>
        <w:ind w:firstLine="709"/>
        <w:jc w:val="both"/>
      </w:pPr>
      <w:r>
        <w:t xml:space="preserve">Финансирование мероприятий программы осуществляется за счет средств федерального бюджета, областного бюджета, внебюджетных средств.</w:t>
      </w:r>
      <w:r/>
    </w:p>
    <w:p>
      <w:pPr>
        <w:pStyle w:val="888"/>
        <w:ind w:firstLine="709"/>
        <w:jc w:val="both"/>
      </w:pPr>
      <w:r>
        <w:t xml:space="preserve">За счет средств областного бюджета предусматривается софинансирование мероприятий в рамках реализации федеральных программ.</w:t>
      </w:r>
      <w:r/>
    </w:p>
    <w:p>
      <w:pPr>
        <w:pStyle w:val="888"/>
        <w:ind w:firstLine="709"/>
        <w:jc w:val="both"/>
      </w:pPr>
      <w:r>
        <w:t xml:space="preserve">Объем финансирования программы подлежит ежегодному уточнению.</w:t>
      </w:r>
      <w:r/>
    </w:p>
    <w:p>
      <w:pPr>
        <w:pStyle w:val="888"/>
        <w:ind w:firstLine="709"/>
        <w:jc w:val="both"/>
      </w:pPr>
      <w:r>
        <w:t xml:space="preserve">Общий объем финансовых средств, необходим</w:t>
      </w:r>
      <w:r>
        <w:rPr>
          <w:bCs/>
        </w:rPr>
        <w:t xml:space="preserve">ых</w:t>
      </w:r>
      <w:r>
        <w:rPr>
          <w:b/>
        </w:rPr>
        <w:t xml:space="preserve"> </w:t>
      </w:r>
      <w:r>
        <w:t xml:space="preserve">для реализации программы на 2023 - 2027 годы, составляет </w:t>
      </w:r>
      <w:r>
        <w:rPr>
          <w:bCs/>
          <w:color w:val="000000"/>
          <w:szCs w:val="28"/>
        </w:rPr>
        <w:t xml:space="preserve">6</w:t>
      </w:r>
      <w:r>
        <w:rPr>
          <w:bCs/>
          <w:color w:val="000000"/>
          <w:szCs w:val="28"/>
        </w:rPr>
        <w:t xml:space="preserve">83</w:t>
      </w:r>
      <w:r>
        <w:rPr>
          <w:bCs/>
          <w:color w:val="000000"/>
          <w:szCs w:val="28"/>
        </w:rPr>
        <w:t xml:space="preserve">36</w:t>
      </w:r>
      <w:r>
        <w:rPr>
          <w:bCs/>
          <w:color w:val="000000"/>
          <w:szCs w:val="28"/>
        </w:rPr>
        <w:t xml:space="preserve">2</w:t>
      </w:r>
      <w:r>
        <w:rPr>
          <w:bCs/>
          <w:color w:val="000000"/>
          <w:szCs w:val="28"/>
        </w:rPr>
        <w:t xml:space="preserve">,00</w:t>
      </w:r>
      <w:r>
        <w:rPr>
          <w:b/>
          <w:bCs/>
          <w:color w:val="000000"/>
          <w:szCs w:val="28"/>
        </w:rPr>
        <w:t xml:space="preserve"> </w:t>
      </w:r>
      <w:r>
        <w:t xml:space="preserve">тыс. рублей, в том числе:</w:t>
      </w:r>
      <w:r/>
    </w:p>
    <w:p>
      <w:pPr>
        <w:pStyle w:val="888"/>
        <w:ind w:firstLine="709"/>
        <w:jc w:val="both"/>
        <w:rPr>
          <w:szCs w:val="28"/>
        </w:rPr>
      </w:pPr>
      <w:r>
        <w:t xml:space="preserve">- из федерального бюджета </w:t>
      </w:r>
      <w:r>
        <w:rPr>
          <w:szCs w:val="28"/>
        </w:rPr>
        <w:t xml:space="preserve">–</w:t>
      </w:r>
      <w:r>
        <w:rPr>
          <w:bCs/>
          <w:color w:val="000000"/>
          <w:szCs w:val="28"/>
        </w:rPr>
        <w:t xml:space="preserve">504 70</w:t>
      </w:r>
      <w:r>
        <w:rPr>
          <w:bCs/>
          <w:color w:val="000000"/>
          <w:szCs w:val="28"/>
        </w:rPr>
        <w:t xml:space="preserve">0,00 </w:t>
      </w:r>
      <w:r>
        <w:rPr>
          <w:szCs w:val="28"/>
        </w:rPr>
        <w:t xml:space="preserve">тыс. руб.;</w:t>
      </w:r>
      <w:r/>
    </w:p>
    <w:p>
      <w:pPr>
        <w:pStyle w:val="888"/>
        <w:ind w:firstLine="709"/>
        <w:jc w:val="both"/>
      </w:pPr>
      <w:r>
        <w:rPr>
          <w:szCs w:val="28"/>
        </w:rPr>
        <w:t xml:space="preserve">- из областного бюджета –  </w:t>
      </w:r>
      <w:r>
        <w:rPr>
          <w:bCs/>
          <w:color w:val="000000"/>
          <w:szCs w:val="28"/>
        </w:rPr>
        <w:t xml:space="preserve">67291,0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тыс. руб.;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- из муниципального бюджета –</w:t>
      </w:r>
      <w:r>
        <w:rPr>
          <w:color w:val="000000"/>
        </w:rPr>
        <w:t xml:space="preserve"> 0,00 </w:t>
      </w:r>
      <w:r>
        <w:rPr>
          <w:szCs w:val="28"/>
        </w:rPr>
        <w:t xml:space="preserve">тыс. руб.;</w:t>
      </w:r>
      <w:r/>
    </w:p>
    <w:p>
      <w:pPr>
        <w:pStyle w:val="888"/>
        <w:ind w:firstLine="709"/>
        <w:jc w:val="both"/>
        <w:rPr>
          <w:szCs w:val="28"/>
        </w:rPr>
      </w:pPr>
      <w:r>
        <w:rPr>
          <w:szCs w:val="28"/>
        </w:rPr>
        <w:t xml:space="preserve">- внебюджетные средства (средства инвесторов) – </w:t>
      </w:r>
      <w:r>
        <w:rPr>
          <w:bCs/>
          <w:color w:val="000000"/>
          <w:szCs w:val="28"/>
        </w:rPr>
        <w:t xml:space="preserve">1</w:t>
      </w:r>
      <w:r>
        <w:rPr>
          <w:bCs/>
          <w:color w:val="000000"/>
          <w:szCs w:val="28"/>
        </w:rPr>
        <w:t xml:space="preserve">113</w:t>
      </w:r>
      <w:r>
        <w:rPr>
          <w:bCs/>
          <w:color w:val="000000"/>
          <w:szCs w:val="28"/>
        </w:rPr>
        <w:t xml:space="preserve">7</w:t>
      </w:r>
      <w:r>
        <w:rPr>
          <w:bCs/>
          <w:color w:val="000000"/>
          <w:szCs w:val="28"/>
        </w:rPr>
        <w:t xml:space="preserve">1</w:t>
      </w:r>
      <w:r>
        <w:rPr>
          <w:bCs/>
          <w:color w:val="000000"/>
          <w:szCs w:val="28"/>
        </w:rPr>
        <w:t xml:space="preserve">,0</w:t>
      </w:r>
      <w:r>
        <w:rPr>
          <w:bCs/>
          <w:color w:val="000000"/>
          <w:szCs w:val="28"/>
        </w:rPr>
        <w:t xml:space="preserve">0</w:t>
      </w:r>
      <w:r>
        <w:rPr>
          <w:szCs w:val="28"/>
        </w:rPr>
        <w:t xml:space="preserve"> тыс. руб. </w:t>
      </w:r>
      <w:r/>
    </w:p>
    <w:p>
      <w:pPr>
        <w:pStyle w:val="888"/>
        <w:jc w:val="both"/>
      </w:pPr>
      <w:r/>
      <w:r/>
    </w:p>
    <w:p>
      <w:pPr>
        <w:pStyle w:val="888"/>
        <w:rPr>
          <w:sz w:val="22"/>
        </w:rPr>
        <w:sectPr>
          <w:head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20" w:equalWidth="1"/>
          <w:docGrid w:linePitch="360"/>
          <w:titlePg/>
        </w:sectPr>
        <w:outlineLvl w:val="2"/>
      </w:pPr>
      <w:r>
        <w:rPr>
          <w:sz w:val="22"/>
        </w:rPr>
      </w:r>
      <w:r/>
    </w:p>
    <w:p>
      <w:pPr>
        <w:pStyle w:val="888"/>
        <w:jc w:val="both"/>
      </w:pPr>
      <w:r/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182"/>
        <w:gridCol w:w="1597"/>
        <w:gridCol w:w="1331"/>
        <w:gridCol w:w="1275"/>
        <w:gridCol w:w="1275"/>
        <w:gridCol w:w="1703"/>
        <w:gridCol w:w="849"/>
        <w:gridCol w:w="852"/>
        <w:gridCol w:w="1275"/>
        <w:gridCol w:w="1485"/>
        <w:gridCol w:w="1428"/>
      </w:tblGrid>
      <w:tr>
        <w:trPr>
          <w:trHeight w:val="312"/>
        </w:trPr>
        <w:tc>
          <w:tcPr>
            <w:gridSpan w:val="1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ХАРАКТЕРИСТИКА ОБЪЕКТОВ</w:t>
            </w:r>
            <w:r/>
          </w:p>
        </w:tc>
      </w:tr>
      <w:tr>
        <w:trPr>
          <w:trHeight w:val="312"/>
        </w:trPr>
        <w:tc>
          <w:tcPr>
            <w:gridSpan w:val="1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государственной программы Еврейской автономной области "Модернизации системы коммунальной инфраструктуры Еврейской автономной области"</w:t>
            </w:r>
            <w:r/>
          </w:p>
        </w:tc>
      </w:tr>
      <w:tr>
        <w:trPr>
          <w:trHeight w:val="312"/>
        </w:trPr>
        <w:tc>
          <w:tcPr>
            <w:gridSpan w:val="1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Муниципальное образование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мероприятия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объекта, в отношении которого реализуется мероприятие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Вид объекта подлежащего модернизации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Вид работ по объекту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Форма собственности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Мощность, производительность, протяженность объекта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Предельная (плановая) стоимость строительства (капитального ремонта)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Участник, реализующий мероприятие </w:t>
            </w:r>
            <w:r/>
          </w:p>
        </w:tc>
      </w:tr>
      <w:tr>
        <w:trPr>
          <w:trHeight w:val="12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единица измерения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значение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всего, тыс.₽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 т.ч. средства финансовой поддержки, тыс.₽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/>
            <w:bookmarkStart w:id="0" w:name="RANGE!A8:L65"/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Еврейской автономной области:</w:t>
            </w:r>
            <w:bookmarkEnd w:id="0"/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77,10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68336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504700,00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X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сфере реализации «водоснабжение»: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13,74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1555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116628,00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X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образованию: г. Биробиджан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4,89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67380,00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50535,00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>
          <w:trHeight w:val="1248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г.Биробиджан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водоснабжения в г.Биробиджан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сети водоснабжения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 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4,89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67380,00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50535,00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образованию: "Смидовичский муниципальный район"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0,61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1280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9601,00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>
          <w:trHeight w:val="1248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Смидовичское ГП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ГВС п.Смидович 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водоснабжения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 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0,24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2612,00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1959,00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936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Камышовское СП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тепло-водоснабжения п.Камышовка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водоснабжения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 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0,37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</w:t>
            </w:r>
            <w:r>
              <w:rPr>
                <w:rFonts w:eastAsia="Times New Roman"/>
                <w:sz w:val="24"/>
                <w:szCs w:val="24"/>
              </w:rPr>
              <w:t xml:space="preserve">90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7642,00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образованию: "Биробиджанский муниципальный район"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4,27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25133,00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18849,00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>
          <w:trHeight w:val="936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Бирофельд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водоснабжения в 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водоснабжения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 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4,27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18849,00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образованию: "Облученский муниципальный район"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3,97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50195,00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37643,00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>
          <w:trHeight w:val="2808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 Облучье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участков водопроводоводных сетей г. Облучье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водоснабжения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мун. собственность  Облученского городского поселения Облученского муниципального района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1,84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27596,00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20696,00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1248"/>
        </w:trPr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пгт. Бира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водоснабжения пгт.Бира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водоснабжения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  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0,16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11003,00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8251,00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1248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Будукан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водоснабжения от водозабора в с. Будукан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водоснабжения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  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0,30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2379,00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1784,00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1248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пгт. Лондоко-завод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водоснабжения в     пгт. Лондоко-завод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водоснабжения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  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1,67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9217,00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6912,00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сфере реализации «водоотведение»: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X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20,32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156012,00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117007,00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X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образованию: г. Биробиджан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10,41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120768,00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90575,00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>
          <w:trHeight w:val="1248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г.Биробиджан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водоотведения в г.Биробиджан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сети водоснабжения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 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10,41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120768,00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90575,00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346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образованию: "Смидовичский муниципальный район" 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0,81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11978,00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8983,00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>
          <w:trHeight w:val="2496"/>
        </w:trPr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Николаевское ГП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Модернизациясетей водоотведения в пос.Николаевка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водоотведения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мун. собственность  Николаевского городского поселения Смидовичского муниципального района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0,81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11978,00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8983,00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Николаевское городское поселение Смидовичского муниципального района Еврейской автономной области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образованию: "Облученский муниципальный район"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9,10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23266,00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17449,00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X</w:t>
            </w:r>
            <w:r/>
          </w:p>
        </w:tc>
      </w:tr>
      <w:tr>
        <w:trPr>
          <w:trHeight w:val="1248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пгт. Теплоозерск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канализационной сети в пгт.Тёплоозерск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водоотведения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  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9,10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23266,00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17449,00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сфере реализации «теплоснабжение»: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X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43,04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371840,00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271065,00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X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образованию: г. Биробиджан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X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5,50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132684,00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91706,00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X</w:t>
            </w:r>
            <w:r/>
          </w:p>
        </w:tc>
      </w:tr>
      <w:tr>
        <w:trPr>
          <w:trHeight w:val="1248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г.Биробиджан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в г.Биробиджан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сети водоснабжения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 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5,50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132684,00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91706,00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образованию: "Смидовичский муниципальный район"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28,50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199329,00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149493,00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X</w:t>
            </w:r>
            <w:r/>
          </w:p>
        </w:tc>
      </w:tr>
      <w:tr>
        <w:trPr>
          <w:trHeight w:val="1248"/>
        </w:trPr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Смидовичское ГП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участков теплоснабжения п.Смидович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теплоснабжения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  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12,96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120736,00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90551,00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2808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Приамурское ГП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  сетей теплоснабжения Приамурского ГП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теплоснабжения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мун. собственность  Приамурского городского поселения Смидовичского муниципального района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4,76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15493,00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11619,00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Приамурское городское поселение Смидовичского муниципального района Еврейской автономной области</w:t>
            </w:r>
            <w:r/>
          </w:p>
        </w:tc>
      </w:tr>
      <w:tr>
        <w:trPr>
          <w:trHeight w:val="2496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пос. Волочаевка-2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от ул. Советская 25-35 в пос. Волочаевка (левая сторона)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теплоснабжения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мун. собственность  Приамурского городского поселения Смидовичского муниципального района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2,70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10715,00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Волочаевское городское поселение Смидовичского муниципального района </w:t>
            </w:r>
            <w:r/>
          </w:p>
        </w:tc>
      </w:tr>
      <w:tr>
        <w:trPr>
          <w:trHeight w:val="2496"/>
        </w:trPr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пос. Волочаевка-2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от ул. Советская 25-35 в пос. Волочаевка (правая сторона)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теплоснабжения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мун. собственность  Приамурского городского поселения Смидовичского муниципального района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2,70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14287,00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10715,00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Волочаевское городское поселение Смидовичского муниципального района </w:t>
            </w:r>
            <w:r/>
          </w:p>
        </w:tc>
      </w:tr>
      <w:tr>
        <w:trPr>
          <w:trHeight w:val="24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Николаевское ГП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пос.Николаевка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теплоснабжения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мун.собственность Николаевского городского поселения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3,20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15046,00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11284,00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Николаевское городское поселение Смидовичского муниципального района Еврейской автономной области</w:t>
            </w:r>
            <w:r/>
          </w:p>
        </w:tc>
      </w:tr>
      <w:tr>
        <w:trPr>
          <w:trHeight w:val="24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Приамурское ГП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участка сетей теплоснабжения по ул. Островского и спутникового трубопровода системы водоснабжения в пос. Приамурский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теплоснабжения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мун. собственность  Приамурского городского поселения Смидовичского муниципального района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2,18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19480,00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14609,00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Приамурское городское поселение Смидовичского муниципального района Еврейской автономной области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образованию: "Биробиджанский муниципальный район"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2,48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10913,00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8183,00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X</w:t>
            </w:r>
            <w:r/>
          </w:p>
        </w:tc>
      </w:tr>
      <w:tr>
        <w:trPr>
          <w:trHeight w:val="936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Птичник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теплоснабжения (спутник "водовод") от котельной "Мирная" с.Птичник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теплоснабжения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/>
            <w:bookmarkStart w:id="1" w:name="RANGE!G60"/>
            <w:r>
              <w:rPr>
                <w:rFonts w:eastAsia="Times New Roman"/>
                <w:sz w:val="24"/>
                <w:szCs w:val="24"/>
              </w:rPr>
              <w:t xml:space="preserve">гос. собственность  Еврейской автономной области</w:t>
            </w:r>
            <w:bookmarkEnd w:id="1"/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0,22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936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Бирофельд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теплоснабжения с. Бирофельд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теплоснабжения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  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2,26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6199,00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образованию: "Облученский муниципальный район"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5,08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26823,00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20115,00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X</w:t>
            </w:r>
            <w:r/>
          </w:p>
        </w:tc>
      </w:tr>
      <w:tr>
        <w:trPr>
          <w:trHeight w:val="1248"/>
        </w:trPr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21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 Облучье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теплоснабжения от котельной "Солнечная" и спутникового трубопровода системы водоснабжения г.Облучье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теплоснабжения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  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0,80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12067,00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9049,00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1248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пгт. Теплоозерск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  сетей теплоснабжения от котельной "Центральная" пгт.Теплоозерск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теплоснабжения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  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2,60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8172,00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6129,00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936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пгт. Бира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  сетей теплоснабжения от котельной "Центральная" пгт.Бира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сети теплоснабжения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гос. собственность  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1,68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6584,00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4937,00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ГП ЕАО "Облэнергоремонт плюс"</w:t>
            </w:r>
            <w:r/>
          </w:p>
        </w:tc>
      </w:tr>
      <w:tr>
        <w:trPr>
          <w:trHeight w:val="312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009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образованию: "Октябрьский муниципальный район"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1,48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2091,00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1568,00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</w:t>
            </w:r>
            <w:r/>
          </w:p>
        </w:tc>
      </w:tr>
      <w:tr>
        <w:trPr>
          <w:trHeight w:val="15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с.Екатерино-Никольское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в с. Екатерино-Никольское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сети теплоснабжения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линейный объект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реконструкция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мун.собственность Еврейской автономной области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2091,00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1568,00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Администрация Октябрьского района Еврейской автономной области</w:t>
            </w:r>
            <w:r/>
          </w:p>
        </w:tc>
      </w:tr>
    </w:tbl>
    <w:p>
      <w:pPr>
        <w:jc w:val="both"/>
        <w:sectPr>
          <w:footnotePr/>
          <w:endnotePr/>
          <w:type w:val="nextPage"/>
          <w:pgSz w:w="16838" w:h="11906" w:orient="landscape"/>
          <w:pgMar w:top="850" w:right="1134" w:bottom="1701" w:left="1134" w:header="708" w:footer="708" w:gutter="0"/>
          <w:cols w:num="1" w:sep="0" w:space="720" w:equalWidth="1"/>
          <w:docGrid w:linePitch="360"/>
        </w:sectPr>
      </w:pPr>
      <w:r/>
      <w:r/>
    </w:p>
    <w:p>
      <w:pPr>
        <w:pStyle w:val="888"/>
        <w:jc w:val="center"/>
      </w:pPr>
      <w:r>
        <w:t xml:space="preserve">ФИНАНСОВОЕ ОБЕСПЕЧЕНИЕ</w:t>
      </w:r>
      <w:r/>
    </w:p>
    <w:p>
      <w:pPr>
        <w:pStyle w:val="888"/>
        <w:jc w:val="center"/>
      </w:pPr>
      <w:r>
        <w:t xml:space="preserve">реализации региональной программы по модернизации систем коммунальной инфраструктуры</w:t>
      </w:r>
      <w:r/>
    </w:p>
    <w:p>
      <w:pPr>
        <w:pStyle w:val="888"/>
        <w:jc w:val="center"/>
      </w:pPr>
      <w:r>
        <w:t xml:space="preserve">Еврейской автономной области</w:t>
      </w:r>
      <w:r/>
    </w:p>
    <w:p>
      <w:pPr>
        <w:pStyle w:val="888"/>
        <w:jc w:val="center"/>
      </w:pPr>
      <w:r/>
      <w:r/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1134"/>
        <w:gridCol w:w="1134"/>
        <w:gridCol w:w="567"/>
        <w:gridCol w:w="709"/>
        <w:gridCol w:w="1276"/>
        <w:gridCol w:w="850"/>
        <w:gridCol w:w="1418"/>
        <w:gridCol w:w="1276"/>
        <w:gridCol w:w="992"/>
        <w:gridCol w:w="1417"/>
        <w:gridCol w:w="1560"/>
        <w:gridCol w:w="992"/>
        <w:gridCol w:w="1417"/>
      </w:tblGrid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Муниципальное образование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Наименование мероприятия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Источники финансового обеспечения</w:t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 период реализации программы</w:t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2023 год</w:t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2024 год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ПД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СМР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ПД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СМР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ПД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СМР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тыс. 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тыс. 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тыс. 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тыс. 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тыс. 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тыс. 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тыс. 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тыс. 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тыс. ₽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 по субъекту Российской Федерации: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68336</w:t>
            </w: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68336</w:t>
            </w: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151469,00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151469,00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53189</w:t>
            </w: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53189</w:t>
            </w: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504700,00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504700,00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116500,00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116500,00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388200,00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388200,00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67291,00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67291,00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13154,00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13154,00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54137,00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54137,00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11137</w:t>
            </w: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11137</w:t>
            </w: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21815,00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21815,00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8955</w:t>
            </w:r>
            <w:r>
              <w:rPr>
                <w:rFonts w:eastAsia="Times New Roman"/>
                <w:sz w:val="24"/>
                <w:szCs w:val="24"/>
              </w:rPr>
              <w:t xml:space="preserve">6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8955</w:t>
            </w:r>
            <w:r>
              <w:rPr>
                <w:rFonts w:eastAsia="Times New Roman"/>
                <w:sz w:val="24"/>
                <w:szCs w:val="24"/>
              </w:rPr>
              <w:t xml:space="preserve">6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 по сфере реализации «водоснабжение»: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1555</w:t>
            </w:r>
            <w:r>
              <w:rPr>
                <w:rFonts w:eastAsia="Times New Roman"/>
                <w:sz w:val="24"/>
                <w:szCs w:val="24"/>
              </w:rPr>
              <w:t xml:space="preserve">10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155509,00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63660,00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63660,00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918</w:t>
            </w:r>
            <w:r>
              <w:rPr>
                <w:rFonts w:eastAsia="Times New Roman"/>
                <w:sz w:val="24"/>
                <w:szCs w:val="24"/>
              </w:rPr>
              <w:t xml:space="preserve">50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918</w:t>
            </w:r>
            <w:r>
              <w:rPr>
                <w:rFonts w:eastAsia="Times New Roman"/>
                <w:sz w:val="24"/>
                <w:szCs w:val="24"/>
              </w:rPr>
              <w:t xml:space="preserve">50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116628,00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116628,00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48157,00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48157,00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68471,00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68471,00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15547,00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15547,00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5379,00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5379,00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10168,00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10168,00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2333</w:t>
            </w: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2333</w:t>
            </w: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10124,00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10124,00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1321</w:t>
            </w: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1321</w:t>
            </w: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 по муниципальному образованию «г. Биробиджан»: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67380,00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67380,00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26698,00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26698,00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40682,00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40682,00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50535,00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50535,00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20437,00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20437,00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30098,00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30098,00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6737,00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6737,00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5053,00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5053,00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10108,00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10108,00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4577,00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4577,00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5531,00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5531,00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 Биробиджан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водоснабжения  в г. Биробиджане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67380,00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67380,00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26698,00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26698,00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40682,00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40682,00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50535,00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50535,00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20437,00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20437,00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30098,00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30098,00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6737,00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6737,00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5053,00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5053,00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10108,00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10108,00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4577,00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4577,00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5531,00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5531,00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 по муниципальному образованию «Смидовичский муниципальный район»: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1280</w:t>
            </w: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1280</w:t>
            </w: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</w:t>
            </w:r>
            <w:r>
              <w:rPr>
                <w:rFonts w:eastAsia="Times New Roman"/>
                <w:sz w:val="24"/>
                <w:szCs w:val="24"/>
              </w:rPr>
              <w:t xml:space="preserve">90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</w:t>
            </w:r>
            <w:r>
              <w:rPr>
                <w:rFonts w:eastAsia="Times New Roman"/>
                <w:sz w:val="24"/>
                <w:szCs w:val="24"/>
              </w:rPr>
              <w:t xml:space="preserve">90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9601,00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9601,00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7642,00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7642,00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1280,00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1280,00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1019,00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192</w:t>
            </w: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192</w:t>
            </w: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392,00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392,00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1528,00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152</w:t>
            </w:r>
            <w:r>
              <w:rPr>
                <w:rFonts w:eastAsia="Times New Roman"/>
                <w:sz w:val="24"/>
                <w:szCs w:val="24"/>
              </w:rPr>
              <w:t xml:space="preserve">9</w:t>
            </w:r>
            <w:bookmarkStart w:id="2" w:name="_GoBack"/>
            <w:r/>
            <w:bookmarkEnd w:id="2"/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Смидовичское ГП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участка сетей ГВС в пос.Смидович 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392,00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392,00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392,00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392,00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Камышовское СП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участка сетей тепловодоснабжения в с.Камышовка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</w:t>
            </w:r>
            <w:r>
              <w:rPr>
                <w:rFonts w:eastAsia="Times New Roman"/>
                <w:sz w:val="24"/>
                <w:szCs w:val="24"/>
              </w:rPr>
              <w:t xml:space="preserve">90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</w:t>
            </w:r>
            <w:r>
              <w:rPr>
                <w:rFonts w:eastAsia="Times New Roman"/>
                <w:sz w:val="24"/>
                <w:szCs w:val="24"/>
              </w:rPr>
              <w:t xml:space="preserve">90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</w:t>
            </w:r>
            <w:r>
              <w:rPr>
                <w:rFonts w:eastAsia="Times New Roman"/>
                <w:sz w:val="24"/>
                <w:szCs w:val="24"/>
              </w:rPr>
              <w:t xml:space="preserve">90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</w:t>
            </w:r>
            <w:r>
              <w:rPr>
                <w:rFonts w:eastAsia="Times New Roman"/>
                <w:sz w:val="24"/>
                <w:szCs w:val="24"/>
              </w:rPr>
              <w:t xml:space="preserve">90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7642,00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7642,00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7642,00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7642,00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1019,00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152</w:t>
            </w:r>
            <w:r>
              <w:rPr>
                <w:rFonts w:eastAsia="Times New Roman"/>
                <w:sz w:val="24"/>
                <w:szCs w:val="24"/>
              </w:rPr>
              <w:t xml:space="preserve">9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152</w:t>
            </w:r>
            <w:r>
              <w:rPr>
                <w:rFonts w:eastAsia="Times New Roman"/>
                <w:sz w:val="24"/>
                <w:szCs w:val="24"/>
              </w:rPr>
              <w:t xml:space="preserve">9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152</w:t>
            </w:r>
            <w:r>
              <w:rPr>
                <w:rFonts w:eastAsia="Times New Roman"/>
                <w:sz w:val="24"/>
                <w:szCs w:val="24"/>
              </w:rPr>
              <w:t xml:space="preserve">9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152</w:t>
            </w:r>
            <w:r>
              <w:rPr>
                <w:rFonts w:eastAsia="Times New Roman"/>
                <w:sz w:val="24"/>
                <w:szCs w:val="24"/>
              </w:rPr>
              <w:t xml:space="preserve">9</w:t>
            </w:r>
            <w:r>
              <w:rPr>
                <w:rFonts w:eastAsia="Times New Roman"/>
                <w:sz w:val="24"/>
                <w:szCs w:val="24"/>
              </w:rPr>
              <w:t xml:space="preserve">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</w:t>
            </w:r>
            <w:r>
              <w:rPr>
                <w:rFonts w:eastAsia="Times New Roman"/>
                <w:sz w:val="24"/>
                <w:szCs w:val="24"/>
              </w:rPr>
              <w:t xml:space="preserve">муниципальному образованию «Биробиджанский муниципальный район»: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</w:t>
            </w:r>
            <w:r>
              <w:rPr>
                <w:rFonts w:eastAsia="Times New Roman"/>
                <w:sz w:val="24"/>
                <w:szCs w:val="24"/>
              </w:rPr>
              <w:t xml:space="preserve">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18849,00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18849,00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18849,00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18849,00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3771,00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3771,00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3771,00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3771,00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Бирофельд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участка сетей водоснабжения в с.Бирофельд 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18849,00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18849,00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18849,00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18849,00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2513,00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3771,00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3771,00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3771,00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3771,00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муниципальному образованию «Облученский муниципальный район»: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50195,00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50195,00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27596,00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40978,00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37643,00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37643,00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6912,00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6912,00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20696,00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30731,00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4096,00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7535,00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7535,00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4141,00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6151,00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 Облучье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участков водопроводоводных сетей г.Облучье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27596,00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27596,00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27596,00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27596,00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20696,00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20696,00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20696,00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20696,00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4141,00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4141,00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4141,00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4141,00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пгт. </w:t>
            </w:r>
            <w:r>
              <w:rPr>
                <w:rFonts w:eastAsia="Times New Roman"/>
                <w:sz w:val="24"/>
                <w:szCs w:val="24"/>
              </w:rPr>
              <w:t xml:space="preserve">Бира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</w:t>
            </w:r>
            <w:r>
              <w:rPr>
                <w:rFonts w:eastAsia="Times New Roman"/>
                <w:sz w:val="24"/>
                <w:szCs w:val="24"/>
              </w:rPr>
              <w:t xml:space="preserve">изация участка сетей водоснабжения пгт.Бира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</w:t>
            </w:r>
            <w:r>
              <w:rPr>
                <w:rFonts w:eastAsia="Times New Roman"/>
                <w:sz w:val="24"/>
                <w:szCs w:val="24"/>
              </w:rPr>
              <w:t xml:space="preserve">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11003,00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11003,00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11003,00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11003,00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8251,00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8251,00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8251,00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8251,00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1100,00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1100,00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1100,00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1100,00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1652,00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1652,00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1652,00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1652,00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Будукан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участка сетей водоснабжения от водозабора в с. Будукан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2379,00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2379,00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2379,00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2379,00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1784,00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358,00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358,00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358,00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358,00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пгт. Лондоко-завод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участка сетей водоснабжения в пгт. Лондоко-завод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6912,00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6912,00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6912,00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6912,00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 по сфере реализации «водоотведение»: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156012,00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156012,00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156012,00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156012,00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117007,00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117007,00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117007,00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117007,00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15599,00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15599,00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15599,00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15599,00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23406,00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23406,00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23406,00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23406,00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муниципальному образованию «г. Биробиджан»: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120768,00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120768,00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120768,00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120768,00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90575,00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90575,00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90575,00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90575,00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18117,00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 Биробиджан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водоотведения в г. Биробиджане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90575,00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90575,00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90575,00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90575,00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18117,00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муниципальному образованию «Смидовичский муниципальный район»: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11978,00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8983,00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8983,00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8983,00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8983,00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1798,00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1798,00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1798,00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1798,00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Николаевское ГП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участков сетей водоотведения в       пос. Николаевка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8983,00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8983,00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8983,00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8983,00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1197,00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1798,00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1798,00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1798,00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1798,00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муниципальному </w:t>
            </w:r>
            <w:r>
              <w:rPr>
                <w:rFonts w:eastAsia="Times New Roman"/>
                <w:sz w:val="24"/>
                <w:szCs w:val="24"/>
              </w:rPr>
              <w:t xml:space="preserve">образованию «Облученский муниципальный район»: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23266,00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17449,00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17449,00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17449,00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17449,00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3491,00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3491,00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3491,00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3491,00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пгт. Теплоозерск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участка канализационной сети в       пгт. Теплоозёрск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17449,00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17449,00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17449,00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17449,00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3491,00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3491,00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3491,00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3491,00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 по сфере реализации «теплоснабжение»: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 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371839,68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371839,68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87808,68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87808,68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284031,00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284031,00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271065,00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271065,00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68343,00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68343,00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202722,00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202722,00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36145,00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36145,00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7775,00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7775,00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28370,00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28370,00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64630,00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64630,00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11691,00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11691,00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52939,00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52939,00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муниципальному образованию «г. Биробиджан»: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132684,00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132684,00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40626,00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40626,00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92058,00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92058,00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91706,00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91706,00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32959,00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32959,00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58747,00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58747,00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12236,00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12236,00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9177,00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9177,00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28742,00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28742,00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4608,00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4608,00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24134,00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24134,00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 Биробиджан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теплосн</w:t>
            </w:r>
            <w:r>
              <w:rPr>
                <w:rFonts w:eastAsia="Times New Roman"/>
                <w:sz w:val="24"/>
                <w:szCs w:val="24"/>
              </w:rPr>
              <w:t xml:space="preserve">абжения в г. Биробиджан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132684,00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132684,00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40626,00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40626,00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92058,00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92058,00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91706,00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91706,00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32959,00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32959,00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58747,00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58747,00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12236,00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12236,00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3059,00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9177,00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9177,00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28742,00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28742,00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4608,00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4608,00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24134,00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24134,00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муниципальному образованию «Смидовичский муниципальный район»: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199328,68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199328,68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29779,68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29779,68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169549,00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169549,00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149493,00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149493,00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22334,00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22334,00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127159,00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127159,00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19929,00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19929,00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2977,00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2977,00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16952,00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16952,00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29907,00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29907,00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4469,00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4469,00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25438,00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25438,00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Смидовичское ГП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участка теплоснабжения п.Смидович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120736,00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120736,00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120736,00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120736,00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90551,00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90551,00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90551,00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90551,00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12073,00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18112,00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Приамурское ГП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теплоснабжения Приамурского ГП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15493,00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15493,00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15493,00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15493,00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11619,00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11619,00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11619,00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11619,00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2325,00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пос. Волочаевка-2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теплоснабжения от ул. </w:t>
            </w:r>
            <w:r>
              <w:rPr>
                <w:rFonts w:eastAsia="Times New Roman"/>
                <w:sz w:val="24"/>
                <w:szCs w:val="24"/>
              </w:rPr>
              <w:t xml:space="preserve">Советская 25-35 в пос. Волочаевка (левая сторона)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10715,00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10715,00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10715,00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10715,00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2144,00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2144,00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2144,00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2144,00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пос. Волочаевка-2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теплоснабжения от ул. Советская 25-35 в пос. Волочаевка (правая сторона)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10715,00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10715,00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10715,00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10715,00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1428,00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2144,00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2144,00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2144,00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2144,00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Николаевское ГП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участка сетей теплоснабжения в  пос. Николаевка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 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15046,00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15046,00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15046,00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15046,00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11284,00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11284,00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11284,00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11284,00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1504,00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1504,00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1504,00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1504,00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2258,00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2258,00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2258,00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2258,00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Приамурское ГП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участка </w:t>
            </w:r>
            <w:r>
              <w:rPr>
                <w:rFonts w:eastAsia="Times New Roman"/>
                <w:sz w:val="24"/>
                <w:szCs w:val="24"/>
              </w:rPr>
              <w:t xml:space="preserve">сетей теплоснабжения по ул. Островского и спутникового трубопровода системы водоснабжения в пос. Приамурский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 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19480,00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19480,00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19480,00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19480,00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14609,00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14609,00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14609,00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14609,00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1947,00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2924,00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2924,00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2924,00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2924,00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муниципальному образованию «Биробиджанский муниципальный район»: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10913,00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10913,00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8266,00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8183,00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8183,00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6199,00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6199,00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1090,00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1090,00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826,00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1640,00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1640,00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1241,00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1241,00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Птичник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теплоснабжения (спутник "водовод") от котельн</w:t>
            </w:r>
            <w:r>
              <w:rPr>
                <w:rFonts w:eastAsia="Times New Roman"/>
                <w:sz w:val="24"/>
                <w:szCs w:val="24"/>
              </w:rPr>
              <w:t xml:space="preserve">ой "Мирная" с.Птичник 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2647,00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Бирофельд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участка сетей теплоснабжения в с. Бирофельд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8266,00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6199,00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6199,00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6199,00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6199,00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1241,00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1241,00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1241,00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1241,00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муниципальному образованию «Облученский муниципальный район»: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 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26823,00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26823,00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14756,00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14756,00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12067,00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12067,00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20115,00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20115,00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11066,00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11066,00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9049,00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2681,00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2681,00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1475,00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1475,00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1206,00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4027,00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4027,00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2215,00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1812,00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 Облучье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участка сетей теплоснабжения от котельной «Солнечная» и </w:t>
            </w:r>
            <w:r>
              <w:rPr>
                <w:rFonts w:eastAsia="Times New Roman"/>
                <w:sz w:val="24"/>
                <w:szCs w:val="24"/>
              </w:rPr>
              <w:t xml:space="preserve">спутникового трубопровода системы водоснабжения в г. Облучье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12067,00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12067,00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12067,00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12067,00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9049,00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9049,00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1206,00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1812,00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пгт. Теплоозерск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участка сетей теплоснабжения от котельной «Центральная» в пос. Теплоозерск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8172,00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8172,00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8172,00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6129,00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6129,00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6129,00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817,00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1226,00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пгт. Бира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участка сетей теплоснабжения от котельной </w:t>
            </w:r>
            <w:r>
              <w:rPr>
                <w:rFonts w:eastAsia="Times New Roman"/>
                <w:sz w:val="24"/>
                <w:szCs w:val="24"/>
              </w:rPr>
              <w:t xml:space="preserve">«Центральная» в  пос. Бира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6584,00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6584,00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6584,00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6584,00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4937,00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4937,00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4937,00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4937,00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658,00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658,00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658,00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658,00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989,00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989,00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989,00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989,00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муниципальному образованию «Октябрьский муниципальный район»: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 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2091,00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1568,00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1568,00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1568,00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1568,00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314,00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314,00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314,00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314,00</w:t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с.Екатерино-Никольское</w:t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теплоснабжения в с. Екатерино-Никольское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 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2091,00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 том числе: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1568,00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1568,00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1568,00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1568,00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ВБ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314,00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314,00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314,00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314,00</w:t>
            </w:r>
            <w:r/>
          </w:p>
        </w:tc>
      </w:tr>
    </w:tbl>
    <w:p>
      <w:pPr>
        <w:pStyle w:val="888"/>
      </w:pPr>
      <w:r/>
      <w:r/>
    </w:p>
    <w:p>
      <w:pPr>
        <w:pStyle w:val="888"/>
        <w:jc w:val="center"/>
      </w:pPr>
      <w:r/>
      <w:r/>
    </w:p>
    <w:p>
      <w:pPr>
        <w:pStyle w:val="888"/>
        <w:jc w:val="center"/>
      </w:pPr>
      <w:r/>
      <w:r/>
    </w:p>
    <w:p>
      <w:pPr>
        <w:pStyle w:val="888"/>
        <w:jc w:val="center"/>
      </w:pPr>
      <w:r/>
      <w:r/>
    </w:p>
    <w:p>
      <w:pPr>
        <w:pStyle w:val="888"/>
        <w:jc w:val="center"/>
      </w:pPr>
      <w:r/>
      <w:r/>
    </w:p>
    <w:p>
      <w:pPr>
        <w:pStyle w:val="888"/>
        <w:jc w:val="center"/>
      </w:pPr>
      <w:r/>
      <w:r/>
    </w:p>
    <w:p>
      <w:pPr>
        <w:pStyle w:val="888"/>
        <w:jc w:val="center"/>
      </w:pPr>
      <w:r/>
      <w:r/>
    </w:p>
    <w:p>
      <w:pPr>
        <w:pStyle w:val="888"/>
        <w:jc w:val="center"/>
      </w:pPr>
      <w:r/>
      <w:r/>
    </w:p>
    <w:p>
      <w:pPr>
        <w:pStyle w:val="888"/>
        <w:jc w:val="center"/>
      </w:pPr>
      <w:r/>
      <w:r/>
    </w:p>
    <w:p>
      <w:pPr>
        <w:pStyle w:val="888"/>
      </w:pPr>
      <w:r/>
      <w:r/>
    </w:p>
    <w:p>
      <w:pPr>
        <w:pStyle w:val="888"/>
        <w:jc w:val="center"/>
      </w:pPr>
      <w:r>
        <w:t xml:space="preserve">ПЕРЕЧЕНЬ И ЗНАЧЕНИЯ ЦЕЛЕВЫХ ПОКАЗАТЕЛЕЙ</w:t>
      </w:r>
      <w:r/>
    </w:p>
    <w:p>
      <w:pPr>
        <w:pStyle w:val="888"/>
        <w:jc w:val="center"/>
      </w:pPr>
      <w:r>
        <w:t xml:space="preserve">региональной программы по модернизации систем коммунальной инфраструктуры</w:t>
      </w:r>
      <w:r/>
    </w:p>
    <w:p>
      <w:pPr>
        <w:pStyle w:val="888"/>
        <w:jc w:val="center"/>
      </w:pPr>
      <w:r>
        <w:t xml:space="preserve">Еврейской автономной области</w:t>
      </w:r>
      <w:r/>
    </w:p>
    <w:p>
      <w:pPr>
        <w:pStyle w:val="888"/>
        <w:jc w:val="center"/>
      </w:pPr>
      <w:r/>
      <w:r/>
    </w:p>
    <w:tbl>
      <w:tblPr>
        <w:tblW w:w="12320" w:type="dxa"/>
        <w:jc w:val="center"/>
        <w:tblLook w:val="04A0" w:firstRow="1" w:lastRow="0" w:firstColumn="1" w:lastColumn="0" w:noHBand="0" w:noVBand="1"/>
      </w:tblPr>
      <w:tblGrid>
        <w:gridCol w:w="980"/>
        <w:gridCol w:w="3540"/>
        <w:gridCol w:w="1340"/>
        <w:gridCol w:w="1560"/>
        <w:gridCol w:w="980"/>
        <w:gridCol w:w="980"/>
        <w:gridCol w:w="980"/>
        <w:gridCol w:w="980"/>
        <w:gridCol w:w="980"/>
      </w:tblGrid>
      <w:tr>
        <w:trPr>
          <w:jc w:val="center"/>
          <w:trHeight w:val="31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Наименование цели, показателя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Единица измерения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64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Значение показателя по годам</w:t>
            </w:r>
            <w:r/>
          </w:p>
        </w:tc>
      </w:tr>
      <w:tr>
        <w:trPr>
          <w:jc w:val="center"/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8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4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2022 (прогноз)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49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плановый период (прогноз)</w:t>
            </w:r>
            <w:r/>
          </w:p>
        </w:tc>
      </w:tr>
      <w:tr>
        <w:trPr>
          <w:jc w:val="center"/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8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4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2027</w:t>
            </w:r>
            <w:r/>
          </w:p>
        </w:tc>
      </w:tr>
      <w:tr>
        <w:trPr>
          <w:jc w:val="center"/>
          <w:trHeight w:val="12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0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Увеличение численности населения, для которого улучшится качество коммунальных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человек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31572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67292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67292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67292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67292</w:t>
            </w:r>
            <w:r/>
          </w:p>
        </w:tc>
      </w:tr>
      <w:tr>
        <w:trPr>
          <w:jc w:val="center"/>
          <w:trHeight w:val="62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0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Увеличение замены инженерных сетей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18,61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77,10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77,10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77,10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77,10</w:t>
            </w:r>
            <w:r/>
          </w:p>
        </w:tc>
      </w:tr>
      <w:tr>
        <w:trPr>
          <w:jc w:val="center"/>
          <w:trHeight w:val="62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0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Снижение аварийности коммунальной инфраструктуры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―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-3,4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-6,9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-10,3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-13,8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-17,2</w:t>
            </w:r>
            <w:r/>
          </w:p>
        </w:tc>
      </w:tr>
    </w:tbl>
    <w:p>
      <w:pPr>
        <w:pStyle w:val="888"/>
        <w:ind w:right="-1"/>
        <w:jc w:val="both"/>
      </w:pPr>
      <w:r/>
      <w:r/>
    </w:p>
    <w:p>
      <w:pPr>
        <w:pStyle w:val="888"/>
        <w:ind w:right="-1"/>
        <w:jc w:val="center"/>
      </w:pPr>
      <w:r/>
      <w:r/>
    </w:p>
    <w:p>
      <w:pPr>
        <w:pStyle w:val="888"/>
        <w:ind w:right="-1"/>
        <w:jc w:val="center"/>
      </w:pPr>
      <w:r/>
      <w:r/>
    </w:p>
    <w:p>
      <w:pPr>
        <w:pStyle w:val="888"/>
        <w:ind w:right="-1"/>
        <w:jc w:val="center"/>
      </w:pPr>
      <w:r/>
      <w:r/>
    </w:p>
    <w:p>
      <w:pPr>
        <w:pStyle w:val="888"/>
        <w:ind w:right="-1"/>
        <w:jc w:val="center"/>
      </w:pPr>
      <w:r/>
      <w:r/>
    </w:p>
    <w:p>
      <w:pPr>
        <w:pStyle w:val="888"/>
        <w:ind w:right="-1"/>
        <w:jc w:val="center"/>
      </w:pPr>
      <w:r/>
      <w:r/>
    </w:p>
    <w:p>
      <w:pPr>
        <w:pStyle w:val="888"/>
        <w:ind w:right="-1"/>
        <w:jc w:val="center"/>
      </w:pPr>
      <w:r/>
      <w:r/>
    </w:p>
    <w:p>
      <w:pPr>
        <w:pStyle w:val="888"/>
        <w:ind w:right="-1"/>
        <w:jc w:val="center"/>
      </w:pPr>
      <w:r/>
      <w:r/>
    </w:p>
    <w:p>
      <w:pPr>
        <w:pStyle w:val="888"/>
        <w:ind w:right="-1"/>
        <w:jc w:val="center"/>
      </w:pPr>
      <w:r/>
      <w:r/>
    </w:p>
    <w:p>
      <w:pPr>
        <w:pStyle w:val="888"/>
        <w:ind w:right="-1"/>
        <w:jc w:val="center"/>
      </w:pPr>
      <w:r/>
      <w:r/>
    </w:p>
    <w:p>
      <w:pPr>
        <w:pStyle w:val="888"/>
        <w:ind w:right="-1"/>
        <w:jc w:val="center"/>
      </w:pPr>
      <w:r/>
      <w:r/>
    </w:p>
    <w:p>
      <w:pPr>
        <w:pStyle w:val="888"/>
        <w:ind w:right="-1"/>
        <w:jc w:val="center"/>
      </w:pPr>
      <w:r/>
      <w:r/>
    </w:p>
    <w:p>
      <w:pPr>
        <w:pStyle w:val="888"/>
        <w:ind w:right="-1"/>
        <w:jc w:val="center"/>
      </w:pPr>
      <w:r>
        <w:t xml:space="preserve">ДИНАМИКА ДОСТИЖЕНИЯ ПОКАЗАТЕЛЕЙ</w:t>
      </w:r>
      <w:r/>
    </w:p>
    <w:p>
      <w:pPr>
        <w:pStyle w:val="888"/>
        <w:jc w:val="center"/>
      </w:pPr>
      <w:r>
        <w:t xml:space="preserve">реализации региональной программы по модернизации систем коммунальной инфраструктуры</w:t>
      </w:r>
      <w:r/>
    </w:p>
    <w:p>
      <w:pPr>
        <w:pStyle w:val="888"/>
        <w:ind w:right="-1"/>
        <w:jc w:val="center"/>
      </w:pPr>
      <w:r>
        <w:t xml:space="preserve">Еврейской автономной области</w:t>
      </w:r>
      <w:r/>
    </w:p>
    <w:p>
      <w:pPr>
        <w:pStyle w:val="888"/>
        <w:ind w:right="-1"/>
        <w:jc w:val="both"/>
      </w:pPr>
      <w:r/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1132"/>
        <w:gridCol w:w="2267"/>
        <w:gridCol w:w="1049"/>
        <w:gridCol w:w="831"/>
        <w:gridCol w:w="831"/>
        <w:gridCol w:w="848"/>
        <w:gridCol w:w="709"/>
        <w:gridCol w:w="709"/>
        <w:gridCol w:w="709"/>
        <w:gridCol w:w="851"/>
        <w:gridCol w:w="851"/>
        <w:gridCol w:w="996"/>
        <w:gridCol w:w="845"/>
        <w:gridCol w:w="848"/>
        <w:gridCol w:w="766"/>
      </w:tblGrid>
      <w:tr>
        <w:trPr>
          <w:trHeight w:val="94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Муниципальное образование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мероприятия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Сфера реализации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/>
            <w:bookmarkStart w:id="3" w:name="RANGE!E5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Протяженность замены инженерных сетей</w:t>
            </w:r>
            <w:bookmarkEnd w:id="3"/>
            <w:r/>
            <w:r/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Увеличение численности населения, для которого улучшится качество услуг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График достижения целевого показателя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График достижения целевого показателя 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2023 год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2024 год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2025 год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2026 год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2027 год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2023 год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2024 год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2025 год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2026 год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2027 год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человек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человек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человек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человек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человек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человек</w:t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субъекту Российской Федерации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77,10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18,61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58,49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98864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31572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67292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сфере реализации «водоснабжение»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13,74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3,69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10,05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30886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8506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22380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сфере реализации «водоотведение»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20,32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19,42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23789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4124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19665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сфере реализации «теплоснабжение»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43,04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14,02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29,02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44189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18942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25247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30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муниципальному образованию: г. Биробиджан: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20672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4244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16428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 Биробиджан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11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Модернизация сетей водоснабжения в г.Биробиджан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3,11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20672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4244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16428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30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6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муниципальному образованию: Смидовичское ГП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4033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4033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10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Смидовичское ГП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ГВС п.Смидович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водоснабжение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6065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4033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Камышовское СП: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9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Камышовское СП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тепло-водоснабжения п.Камышовка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водоснабжение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1 376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76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с. Бирофельд: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62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водоснабжения в с.Бирофельд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водоснабжение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1 057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76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г.Облучье: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3253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3253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9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участков водопроводоводных сетей г.Облучье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водоснабжение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7 959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3253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пгт. Бира: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62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пгт.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водоснабжения пгт.Бира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водоснабжение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2 847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30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с. Будукан: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9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с. Будукан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водоснабжения от водозабора в с. Будукан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водоснабжение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 пгт.Лондоко-завод: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9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пгт. Лондоко-завод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водоснабжения в пгт. Лондоко-завод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водоснабжение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1 031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сфере реализации "водоотведение" 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20,32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19,42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23789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4124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19665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г. Биробиджан: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10,41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9,51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21429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4124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17305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8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водоотведения в г.Биробиджан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водоотведение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10,41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9,51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21429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4124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17305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пгт. Николаевка: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10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пгт.Николаевка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канализационной сети в пос.Николаевка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водоотведение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6 272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пгт. Теплоозерск: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9,10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9,10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2 249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9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пгт.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канализационной сети в пгт.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водоотведение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9,10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9,10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3 540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76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сфере реализации "теплоснабжение"</w:t>
            </w:r>
            <w:r/>
          </w:p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36,18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14,02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22,16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40248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18739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21509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г. Биробиджан:</w:t>
            </w:r>
            <w:r/>
          </w:p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3,44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20755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12283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8472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10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в г.Биробиджан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3,44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20755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12283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8472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Смидовичское ГП:</w:t>
            </w:r>
            <w:r/>
          </w:p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12,96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12,96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5779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5779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62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Смидовичское ГП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участков теплоснабжения пгт.Смидович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12,96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12,96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6 065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5779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6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124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(спутник "водовод") от котельной "Мирная"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с.Птичник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3 055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6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с. Бирофельд: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62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с. Бирофельд,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1 057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6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г.Облучье: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15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от котельной "Солнечная" и спутникового трубопровода системы водоснабжения г.Облучье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7 959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6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пгт. Теплоозерск: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9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пгт.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от  котельной "Центральная" пгт.Теплоозерск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3 540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6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пгт.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Бира: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9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пгт.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от котельной "Центральная" пгт.Бира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2 847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6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пос.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5,40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9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Замена трассы теплоснабжения от ул. Советская 25-35 в пос. Волочаевка (левая сторона)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4 159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9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Замена трассы теплоснабжения от ул. Советская 25-35 в пос. Волочаевка (правая сторона)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4 159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686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Николаевскому ГП: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3,20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3,20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Николаевское ГП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пос.Николаевка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3,20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3,20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6272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112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686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Приамурскому ГП: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3299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3299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20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Приамурское ГП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участка сетей теплоснабжения по ул. Островского и спутникового трубопровода системы водоснабжения в пос. Приамурский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теплоснабжение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2,18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4139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3299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6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Приамурское ГП: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3653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3653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3653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11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Приамурское ГП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7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Приамурского ГП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4,76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4139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20653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3653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312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686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 по муниципальному образованию с.Екатерино-Никольское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9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3" w:type="pct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с.Екатерино-Никольское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Модернизация сетей теплоснабжения в с.Екатерино-Никольское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теплоснабжение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1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1,48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1785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1582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7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</w:tr>
    </w:tbl>
    <w:p>
      <w:pPr>
        <w:pStyle w:val="888"/>
        <w:ind w:right="-1"/>
        <w:jc w:val="both"/>
      </w:pPr>
      <w:r/>
      <w:r/>
    </w:p>
    <w:p>
      <w:pPr>
        <w:pStyle w:val="888"/>
        <w:ind w:right="-1"/>
        <w:jc w:val="both"/>
      </w:pPr>
      <w:r/>
      <w:r/>
    </w:p>
    <w:p>
      <w:pPr>
        <w:pStyle w:val="888"/>
        <w:ind w:right="-1"/>
        <w:jc w:val="both"/>
        <w:sectPr>
          <w:footnotePr/>
          <w:endnotePr/>
          <w:type w:val="nextPage"/>
          <w:pgSz w:w="16838" w:h="11906" w:orient="landscape"/>
          <w:pgMar w:top="850" w:right="1138" w:bottom="1701" w:left="1138" w:header="708" w:footer="708" w:gutter="0"/>
          <w:cols w:num="1" w:sep="0" w:space="720" w:equalWidth="1"/>
          <w:docGrid w:linePitch="360"/>
        </w:sectPr>
      </w:pPr>
      <w:r/>
      <w:r/>
    </w:p>
    <w:p>
      <w:pPr>
        <w:pStyle w:val="888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40</w:t>
    </w:r>
    <w:r>
      <w:fldChar w:fldCharType="end"/>
    </w:r>
    <w:r/>
  </w:p>
  <w:p>
    <w:pPr>
      <w:pStyle w:val="7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jc w:val="center"/>
      <w:keepLines w:val="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jc w:val="center"/>
      <w:keepLines w:val="0"/>
    </w:pPr>
    <w:r>
      <w:t xml:space="preserve">2</w:t>
    </w: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692"/>
    <w:next w:val="692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92"/>
    <w:next w:val="692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92"/>
    <w:next w:val="69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92"/>
    <w:next w:val="692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92"/>
    <w:next w:val="692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92"/>
    <w:next w:val="692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92"/>
    <w:next w:val="692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92"/>
    <w:next w:val="692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92"/>
    <w:next w:val="692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93"/>
    <w:link w:val="715"/>
    <w:uiPriority w:val="10"/>
    <w:rPr>
      <w:sz w:val="48"/>
      <w:szCs w:val="48"/>
    </w:rPr>
  </w:style>
  <w:style w:type="character" w:styleId="666">
    <w:name w:val="Subtitle Char"/>
    <w:basedOn w:val="693"/>
    <w:link w:val="717"/>
    <w:uiPriority w:val="11"/>
    <w:rPr>
      <w:sz w:val="24"/>
      <w:szCs w:val="24"/>
    </w:rPr>
  </w:style>
  <w:style w:type="character" w:styleId="667">
    <w:name w:val="Quote Char"/>
    <w:link w:val="719"/>
    <w:uiPriority w:val="29"/>
    <w:rPr>
      <w:i/>
    </w:rPr>
  </w:style>
  <w:style w:type="character" w:styleId="668">
    <w:name w:val="Intense Quote Char"/>
    <w:link w:val="721"/>
    <w:uiPriority w:val="30"/>
    <w:rPr>
      <w:i/>
    </w:rPr>
  </w:style>
  <w:style w:type="paragraph" w:styleId="669">
    <w:name w:val="Header"/>
    <w:basedOn w:val="69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0">
    <w:name w:val="Footer"/>
    <w:basedOn w:val="692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1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72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1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2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3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6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0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91">
    <w:name w:val="Footnote Text Char"/>
    <w:link w:val="856"/>
    <w:uiPriority w:val="99"/>
    <w:rPr>
      <w:sz w:val="18"/>
    </w:rPr>
  </w:style>
  <w:style w:type="paragraph" w:styleId="692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paragraph" w:styleId="697" w:customStyle="1">
    <w:name w:val="Заголовок 11"/>
    <w:basedOn w:val="692"/>
    <w:next w:val="692"/>
    <w:link w:val="698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z w:val="48"/>
      <w:szCs w:val="48"/>
    </w:rPr>
  </w:style>
  <w:style w:type="character" w:styleId="698" w:customStyle="1">
    <w:name w:val="Заголовок 1 Знак"/>
    <w:link w:val="697"/>
    <w:uiPriority w:val="9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99" w:customStyle="1">
    <w:name w:val="Заголовок 21"/>
    <w:basedOn w:val="692"/>
    <w:next w:val="692"/>
    <w:link w:val="70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00" w:customStyle="1">
    <w:name w:val="Heading 2 Char"/>
    <w:basedOn w:val="693"/>
    <w:link w:val="699"/>
    <w:uiPriority w:val="9"/>
    <w:rPr>
      <w:rFonts w:ascii="Arial" w:hAnsi="Arial" w:eastAsia="Arial" w:cs="Arial"/>
      <w:sz w:val="34"/>
    </w:rPr>
  </w:style>
  <w:style w:type="paragraph" w:styleId="701" w:customStyle="1">
    <w:name w:val="Заголовок 31"/>
    <w:basedOn w:val="692"/>
    <w:next w:val="692"/>
    <w:link w:val="70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02" w:customStyle="1">
    <w:name w:val="Heading 3 Char"/>
    <w:basedOn w:val="693"/>
    <w:link w:val="701"/>
    <w:uiPriority w:val="9"/>
    <w:rPr>
      <w:rFonts w:ascii="Arial" w:hAnsi="Arial" w:eastAsia="Arial" w:cs="Arial"/>
      <w:sz w:val="30"/>
      <w:szCs w:val="30"/>
    </w:rPr>
  </w:style>
  <w:style w:type="paragraph" w:styleId="703" w:customStyle="1">
    <w:name w:val="Заголовок 41"/>
    <w:basedOn w:val="692"/>
    <w:next w:val="692"/>
    <w:link w:val="70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4 Char"/>
    <w:basedOn w:val="693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 w:customStyle="1">
    <w:name w:val="Заголовок 51"/>
    <w:basedOn w:val="692"/>
    <w:next w:val="692"/>
    <w:link w:val="70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5 Char"/>
    <w:basedOn w:val="693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 w:customStyle="1">
    <w:name w:val="Заголовок 61"/>
    <w:basedOn w:val="692"/>
    <w:next w:val="692"/>
    <w:link w:val="70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08" w:customStyle="1">
    <w:name w:val="Heading 6 Char"/>
    <w:basedOn w:val="693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 w:customStyle="1">
    <w:name w:val="Заголовок 71"/>
    <w:basedOn w:val="692"/>
    <w:next w:val="692"/>
    <w:link w:val="71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10" w:customStyle="1">
    <w:name w:val="Heading 7 Char"/>
    <w:basedOn w:val="693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 w:customStyle="1">
    <w:name w:val="Заголовок 81"/>
    <w:basedOn w:val="692"/>
    <w:next w:val="692"/>
    <w:link w:val="71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12" w:customStyle="1">
    <w:name w:val="Heading 8 Char"/>
    <w:basedOn w:val="69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 w:customStyle="1">
    <w:name w:val="Заголовок 91"/>
    <w:basedOn w:val="692"/>
    <w:next w:val="692"/>
    <w:link w:val="71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Heading 9 Char"/>
    <w:basedOn w:val="693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Title"/>
    <w:basedOn w:val="692"/>
    <w:next w:val="692"/>
    <w:link w:val="716"/>
    <w:uiPriority w:val="10"/>
    <w:qFormat/>
    <w:pPr>
      <w:contextualSpacing/>
      <w:spacing w:before="300"/>
    </w:pPr>
    <w:rPr>
      <w:sz w:val="48"/>
      <w:szCs w:val="48"/>
    </w:rPr>
  </w:style>
  <w:style w:type="character" w:styleId="716" w:customStyle="1">
    <w:name w:val="Заголовок Знак"/>
    <w:basedOn w:val="693"/>
    <w:link w:val="715"/>
    <w:uiPriority w:val="10"/>
    <w:rPr>
      <w:sz w:val="48"/>
      <w:szCs w:val="48"/>
    </w:rPr>
  </w:style>
  <w:style w:type="paragraph" w:styleId="717">
    <w:name w:val="Subtitle"/>
    <w:basedOn w:val="692"/>
    <w:next w:val="692"/>
    <w:link w:val="718"/>
    <w:uiPriority w:val="11"/>
    <w:qFormat/>
    <w:pPr>
      <w:spacing w:before="200"/>
    </w:pPr>
    <w:rPr>
      <w:sz w:val="24"/>
      <w:szCs w:val="24"/>
    </w:rPr>
  </w:style>
  <w:style w:type="character" w:styleId="718" w:customStyle="1">
    <w:name w:val="Подзаголовок Знак"/>
    <w:basedOn w:val="693"/>
    <w:link w:val="717"/>
    <w:uiPriority w:val="11"/>
    <w:rPr>
      <w:sz w:val="24"/>
      <w:szCs w:val="24"/>
    </w:rPr>
  </w:style>
  <w:style w:type="paragraph" w:styleId="719">
    <w:name w:val="Quote"/>
    <w:basedOn w:val="692"/>
    <w:next w:val="692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2"/>
    <w:next w:val="692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character" w:styleId="723" w:customStyle="1">
    <w:name w:val="Header Char"/>
    <w:basedOn w:val="693"/>
    <w:uiPriority w:val="99"/>
  </w:style>
  <w:style w:type="paragraph" w:styleId="724" w:customStyle="1">
    <w:name w:val="Верхний колонтитул1"/>
    <w:basedOn w:val="692"/>
    <w:link w:val="725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5" w:customStyle="1">
    <w:name w:val="Верхний колонтитул Знак"/>
    <w:basedOn w:val="693"/>
    <w:link w:val="724"/>
    <w:uiPriority w:val="99"/>
    <w:qFormat/>
  </w:style>
  <w:style w:type="character" w:styleId="726" w:customStyle="1">
    <w:name w:val="Footer Char"/>
    <w:basedOn w:val="693"/>
    <w:uiPriority w:val="99"/>
  </w:style>
  <w:style w:type="paragraph" w:styleId="727" w:customStyle="1">
    <w:name w:val="Нижний колонтитул1"/>
    <w:basedOn w:val="692"/>
    <w:link w:val="728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8" w:customStyle="1">
    <w:name w:val="Нижний колонтитул Знак"/>
    <w:basedOn w:val="693"/>
    <w:link w:val="727"/>
    <w:uiPriority w:val="99"/>
    <w:qFormat/>
  </w:style>
  <w:style w:type="paragraph" w:styleId="729" w:customStyle="1">
    <w:name w:val="Название объекта1"/>
    <w:basedOn w:val="692"/>
    <w:next w:val="69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 w:customStyle="1">
    <w:name w:val="Таблица простая 1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Таблица простая 21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Таблица простая 31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 w:customStyle="1">
    <w:name w:val="Таблица простая 41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Таблица простая 51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 w:customStyle="1">
    <w:name w:val="Таблица-сетка 1 светлая1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Таблица-сетка 21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Таблица-сетка 31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Таблица-сетка 41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 w:customStyle="1">
    <w:name w:val="Таблица-сетка 5 темная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 w:customStyle="1">
    <w:name w:val="Таблица-сетка 6 цветная1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Таблица-сетка 7 цветная1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Список-таблица 1 светлая1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Список-таблица 21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 w:customStyle="1">
    <w:name w:val="Список-таблица 31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Список-таблица 41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Список-таблица 5 темная1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Список-таблица 6 цветная1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 w:customStyle="1">
    <w:name w:val="Список-таблица 7 цветная1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6">
    <w:name w:val="footnote text"/>
    <w:basedOn w:val="692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693"/>
    <w:uiPriority w:val="99"/>
    <w:unhideWhenUsed/>
    <w:rPr>
      <w:vertAlign w:val="superscript"/>
    </w:rPr>
  </w:style>
  <w:style w:type="character" w:styleId="859" w:customStyle="1">
    <w:name w:val="Endnote Text Char"/>
    <w:uiPriority w:val="99"/>
    <w:rPr>
      <w:sz w:val="20"/>
    </w:rPr>
  </w:style>
  <w:style w:type="paragraph" w:styleId="860">
    <w:name w:val="endnote text"/>
    <w:basedOn w:val="692"/>
    <w:link w:val="861"/>
    <w:uiPriority w:val="99"/>
    <w:qFormat/>
    <w:pPr>
      <w:spacing w:after="0" w:line="240" w:lineRule="auto"/>
    </w:pPr>
    <w:rPr>
      <w:rFonts w:eastAsia="Times New Roman"/>
      <w:sz w:val="20"/>
      <w:szCs w:val="20"/>
    </w:rPr>
  </w:style>
  <w:style w:type="character" w:styleId="861" w:customStyle="1">
    <w:name w:val="Текст концевой сноски Знак"/>
    <w:link w:val="860"/>
    <w:uiPriority w:val="99"/>
    <w:qFormat/>
    <w:rPr>
      <w:rFonts w:ascii="Times New Roman" w:hAnsi="Times New Roman" w:eastAsia="Times New Roman" w:cs="Times New Roman"/>
      <w:sz w:val="20"/>
      <w:szCs w:val="20"/>
    </w:rPr>
  </w:style>
  <w:style w:type="paragraph" w:styleId="862">
    <w:name w:val="toc 1"/>
    <w:basedOn w:val="692"/>
    <w:next w:val="692"/>
    <w:uiPriority w:val="39"/>
    <w:unhideWhenUsed/>
    <w:pPr>
      <w:spacing w:after="57"/>
    </w:pPr>
  </w:style>
  <w:style w:type="paragraph" w:styleId="863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64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65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66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67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68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69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70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2"/>
    <w:next w:val="692"/>
    <w:uiPriority w:val="99"/>
    <w:unhideWhenUsed/>
    <w:pPr>
      <w:spacing w:after="0"/>
    </w:pPr>
  </w:style>
  <w:style w:type="character" w:styleId="873">
    <w:name w:val="annotation reference"/>
    <w:uiPriority w:val="99"/>
    <w:unhideWhenUsed/>
    <w:qFormat/>
    <w:rPr>
      <w:sz w:val="16"/>
      <w:szCs w:val="16"/>
    </w:rPr>
  </w:style>
  <w:style w:type="character" w:styleId="874">
    <w:name w:val="endnote reference"/>
    <w:uiPriority w:val="99"/>
    <w:qFormat/>
    <w:rPr>
      <w:vertAlign w:val="superscript"/>
    </w:rPr>
  </w:style>
  <w:style w:type="character" w:styleId="875">
    <w:name w:val="Hyperlink"/>
    <w:uiPriority w:val="99"/>
    <w:unhideWhenUsed/>
    <w:qFormat/>
    <w:rPr>
      <w:color w:val="0000ff"/>
      <w:u w:val="single"/>
    </w:rPr>
  </w:style>
  <w:style w:type="paragraph" w:styleId="876">
    <w:name w:val="Balloon Text"/>
    <w:basedOn w:val="692"/>
    <w:link w:val="877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link w:val="876"/>
    <w:uiPriority w:val="99"/>
    <w:semiHidden/>
    <w:qFormat/>
    <w:rPr>
      <w:rFonts w:ascii="Tahoma" w:hAnsi="Tahoma" w:cs="Tahoma"/>
      <w:sz w:val="16"/>
      <w:szCs w:val="16"/>
    </w:rPr>
  </w:style>
  <w:style w:type="paragraph" w:styleId="878">
    <w:name w:val="annotation text"/>
    <w:basedOn w:val="692"/>
    <w:link w:val="879"/>
    <w:uiPriority w:val="99"/>
    <w:unhideWhenUsed/>
    <w:qFormat/>
    <w:pPr>
      <w:spacing w:line="240" w:lineRule="auto"/>
    </w:pPr>
    <w:rPr>
      <w:sz w:val="20"/>
      <w:szCs w:val="20"/>
    </w:rPr>
  </w:style>
  <w:style w:type="character" w:styleId="879" w:customStyle="1">
    <w:name w:val="Текст примечания Знак"/>
    <w:link w:val="878"/>
    <w:uiPriority w:val="99"/>
    <w:semiHidden/>
    <w:qFormat/>
    <w:rPr>
      <w:sz w:val="20"/>
      <w:szCs w:val="20"/>
    </w:rPr>
  </w:style>
  <w:style w:type="paragraph" w:styleId="880">
    <w:name w:val="annotation subject"/>
    <w:basedOn w:val="878"/>
    <w:next w:val="878"/>
    <w:link w:val="881"/>
    <w:uiPriority w:val="99"/>
    <w:unhideWhenUsed/>
    <w:qFormat/>
    <w:rPr>
      <w:b/>
      <w:bCs/>
    </w:rPr>
  </w:style>
  <w:style w:type="character" w:styleId="881" w:customStyle="1">
    <w:name w:val="Тема примечания Знак"/>
    <w:link w:val="880"/>
    <w:uiPriority w:val="99"/>
    <w:semiHidden/>
    <w:qFormat/>
    <w:rPr>
      <w:b/>
      <w:bCs/>
      <w:sz w:val="20"/>
      <w:szCs w:val="20"/>
    </w:rPr>
  </w:style>
  <w:style w:type="paragraph" w:styleId="882">
    <w:name w:val="Normal (Web)"/>
    <w:basedOn w:val="692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883">
    <w:name w:val="Table Grid"/>
    <w:basedOn w:val="694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4" w:customStyle="1">
    <w:name w:val="s_1"/>
    <w:basedOn w:val="692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885" w:customStyle="1">
    <w:name w:val="s_22"/>
    <w:basedOn w:val="692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886">
    <w:name w:val="List Paragraph"/>
    <w:basedOn w:val="692"/>
    <w:link w:val="887"/>
    <w:uiPriority w:val="34"/>
    <w:qFormat/>
    <w:pPr>
      <w:contextualSpacing/>
      <w:ind w:left="720"/>
    </w:pPr>
  </w:style>
  <w:style w:type="character" w:styleId="887" w:customStyle="1">
    <w:name w:val="Абзац списка Знак"/>
    <w:link w:val="886"/>
    <w:uiPriority w:val="34"/>
    <w:qFormat/>
  </w:style>
  <w:style w:type="paragraph" w:styleId="888" w:customStyle="1">
    <w:name w:val="ConsPlusNormal"/>
    <w:qFormat/>
    <w:pPr>
      <w:widowControl w:val="off"/>
    </w:pPr>
    <w:rPr>
      <w:sz w:val="28"/>
    </w:rPr>
  </w:style>
  <w:style w:type="paragraph" w:styleId="889" w:customStyle="1">
    <w:name w:val="ConsPlusTitle"/>
    <w:qFormat/>
    <w:pPr>
      <w:widowControl w:val="off"/>
    </w:pPr>
    <w:rPr>
      <w:rFonts w:cs="Calibri"/>
      <w:b/>
      <w:sz w:val="22"/>
    </w:rPr>
  </w:style>
  <w:style w:type="paragraph" w:styleId="890" w:customStyle="1">
    <w:name w:val="Обычный1"/>
    <w:qFormat/>
    <w:pPr>
      <w:spacing w:after="160" w:line="259" w:lineRule="auto"/>
    </w:pPr>
    <w:rPr>
      <w:rFonts w:eastAsia="Calibri" w:cs="Calibri"/>
      <w:sz w:val="22"/>
      <w:szCs w:val="22"/>
    </w:rPr>
  </w:style>
  <w:style w:type="paragraph" w:styleId="891" w:customStyle="1">
    <w:name w:val="ConsPlusJurTerm"/>
    <w:uiPriority w:val="99"/>
    <w:qFormat/>
    <w:pPr>
      <w:widowControl w:val="off"/>
    </w:pPr>
    <w:rPr>
      <w:rFonts w:ascii="Tahoma" w:hAnsi="Tahoma" w:cs="Tahoma"/>
      <w:sz w:val="26"/>
    </w:rPr>
  </w:style>
  <w:style w:type="paragraph" w:styleId="892">
    <w:name w:val="No Spacing"/>
    <w:uiPriority w:val="1"/>
    <w:qFormat/>
    <w:pPr>
      <w:jc w:val="both"/>
    </w:pPr>
    <w:rPr>
      <w:rFonts w:eastAsia="Calibri"/>
      <w:sz w:val="22"/>
      <w:szCs w:val="22"/>
    </w:rPr>
  </w:style>
  <w:style w:type="character" w:styleId="893" w:customStyle="1">
    <w:name w:val="Основной текст (2)_"/>
    <w:link w:val="894"/>
    <w:qFormat/>
    <w:rPr>
      <w:sz w:val="26"/>
      <w:szCs w:val="26"/>
      <w:shd w:val="clear" w:color="auto" w:fill="ffffff"/>
    </w:rPr>
  </w:style>
  <w:style w:type="paragraph" w:styleId="894" w:customStyle="1">
    <w:name w:val="Основной текст (2)"/>
    <w:basedOn w:val="692"/>
    <w:link w:val="893"/>
    <w:qFormat/>
    <w:pPr>
      <w:jc w:val="center"/>
      <w:spacing w:after="0" w:line="307" w:lineRule="exact"/>
      <w:shd w:val="clear" w:color="auto" w:fill="ffffff"/>
      <w:widowControl w:val="off"/>
    </w:pPr>
    <w:rPr>
      <w:sz w:val="26"/>
      <w:szCs w:val="26"/>
    </w:rPr>
  </w:style>
  <w:style w:type="paragraph" w:styleId="895" w:customStyle="1">
    <w:name w:val="Table Paragraph"/>
    <w:basedOn w:val="692"/>
    <w:uiPriority w:val="1"/>
    <w:qFormat/>
    <w:rPr>
      <w:rFonts w:eastAsia="Times New Roman"/>
      <w:lang w:eastAsia="en-US"/>
    </w:rPr>
  </w:style>
  <w:style w:type="character" w:styleId="896" w:customStyle="1">
    <w:name w:val="search_result"/>
    <w:basedOn w:val="693"/>
  </w:style>
  <w:style w:type="character" w:styleId="897">
    <w:name w:val="FollowedHyperlink"/>
    <w:basedOn w:val="693"/>
    <w:uiPriority w:val="99"/>
    <w:semiHidden/>
    <w:unhideWhenUsed/>
    <w:rPr>
      <w:color w:val="954f72"/>
      <w:u w:val="single"/>
    </w:rPr>
  </w:style>
  <w:style w:type="paragraph" w:styleId="898" w:customStyle="1">
    <w:name w:val="xl63"/>
    <w:basedOn w:val="69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899" w:customStyle="1">
    <w:name w:val="xl64"/>
    <w:basedOn w:val="692"/>
    <w:pPr>
      <w:jc w:val="center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styleId="900" w:customStyle="1">
    <w:name w:val="xl65"/>
    <w:basedOn w:val="692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01" w:customStyle="1">
    <w:name w:val="xl66"/>
    <w:basedOn w:val="692"/>
    <w:pPr>
      <w:jc w:val="center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902" w:customStyle="1">
    <w:name w:val="xl67"/>
    <w:basedOn w:val="692"/>
    <w:pPr>
      <w:jc w:val="right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03" w:customStyle="1">
    <w:name w:val="xl68"/>
    <w:basedOn w:val="692"/>
    <w:pPr>
      <w:jc w:val="right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04" w:customStyle="1">
    <w:name w:val="xl69"/>
    <w:basedOn w:val="692"/>
    <w:pPr>
      <w:jc w:val="right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05" w:customStyle="1">
    <w:name w:val="xl70"/>
    <w:basedOn w:val="692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06" w:customStyle="1">
    <w:name w:val="xl71"/>
    <w:basedOn w:val="692"/>
    <w:pPr>
      <w:jc w:val="right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07" w:customStyle="1">
    <w:name w:val="xl72"/>
    <w:basedOn w:val="692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08" w:customStyle="1">
    <w:name w:val="xl73"/>
    <w:basedOn w:val="692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09" w:customStyle="1">
    <w:name w:val="xl74"/>
    <w:basedOn w:val="692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10" w:customStyle="1">
    <w:name w:val="xl75"/>
    <w:basedOn w:val="692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11" w:customStyle="1">
    <w:name w:val="xl76"/>
    <w:basedOn w:val="692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12" w:customStyle="1">
    <w:name w:val="xl77"/>
    <w:basedOn w:val="692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13" w:customStyle="1">
    <w:name w:val="xl78"/>
    <w:basedOn w:val="692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sz w:val="24"/>
      <w:szCs w:val="24"/>
    </w:rPr>
  </w:style>
  <w:style w:type="paragraph" w:styleId="914" w:customStyle="1">
    <w:name w:val="xl79"/>
    <w:basedOn w:val="692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sz w:val="24"/>
      <w:szCs w:val="24"/>
    </w:rPr>
  </w:style>
  <w:style w:type="paragraph" w:styleId="915" w:customStyle="1">
    <w:name w:val="xl80"/>
    <w:basedOn w:val="692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sz w:val="24"/>
      <w:szCs w:val="24"/>
    </w:rPr>
  </w:style>
  <w:style w:type="paragraph" w:styleId="916" w:customStyle="1">
    <w:name w:val="xl81"/>
    <w:basedOn w:val="692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17" w:customStyle="1">
    <w:name w:val="xl82"/>
    <w:basedOn w:val="692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18" w:customStyle="1">
    <w:name w:val="xl83"/>
    <w:basedOn w:val="692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19" w:customStyle="1">
    <w:name w:val="xl84"/>
    <w:basedOn w:val="69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20" w:customStyle="1">
    <w:name w:val="xl85"/>
    <w:basedOn w:val="692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21" w:customStyle="1">
    <w:name w:val="xl86"/>
    <w:basedOn w:val="692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22" w:customStyle="1">
    <w:name w:val="xl87"/>
    <w:basedOn w:val="692"/>
    <w:pPr>
      <w:jc w:val="center"/>
      <w:spacing w:before="100" w:beforeAutospacing="1" w:after="100" w:afterAutospacing="1" w:line="240" w:lineRule="auto"/>
      <w:pBdr>
        <w:top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23" w:customStyle="1">
    <w:name w:val="xl88"/>
    <w:basedOn w:val="692"/>
    <w:pPr>
      <w:jc w:val="center"/>
      <w:spacing w:before="100" w:beforeAutospacing="1" w:after="100" w:afterAutospacing="1" w:line="240" w:lineRule="auto"/>
      <w:pBdr>
        <w:bottom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24" w:customStyle="1">
    <w:name w:val="xl89"/>
    <w:basedOn w:val="692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25" w:customStyle="1">
    <w:name w:val="xl90"/>
    <w:basedOn w:val="69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26" w:customStyle="1">
    <w:name w:val="xl91"/>
    <w:basedOn w:val="692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27" w:customStyle="1">
    <w:name w:val="xl92"/>
    <w:basedOn w:val="69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28" w:customStyle="1">
    <w:name w:val="xl93"/>
    <w:basedOn w:val="692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29" w:customStyle="1">
    <w:name w:val="xl94"/>
    <w:basedOn w:val="692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30" w:customStyle="1">
    <w:name w:val="xl95"/>
    <w:basedOn w:val="692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31" w:customStyle="1">
    <w:name w:val="xl96"/>
    <w:basedOn w:val="692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32" w:customStyle="1">
    <w:name w:val="xl97"/>
    <w:basedOn w:val="692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33" w:customStyle="1">
    <w:name w:val="xl98"/>
    <w:basedOn w:val="692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34" w:customStyle="1">
    <w:name w:val="xl99"/>
    <w:basedOn w:val="692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35" w:customStyle="1">
    <w:name w:val="xl100"/>
    <w:basedOn w:val="692"/>
    <w:pPr>
      <w:jc w:val="center"/>
      <w:spacing w:before="100" w:beforeAutospacing="1" w:after="100" w:afterAutospacing="1" w:line="240" w:lineRule="auto"/>
      <w:shd w:val="clear" w:color="000000" w:fill="ffffff"/>
    </w:pPr>
    <w:rPr>
      <w:rFonts w:eastAsia="Times New Roman"/>
      <w:color w:val="000000"/>
      <w:sz w:val="24"/>
      <w:szCs w:val="24"/>
    </w:rPr>
  </w:style>
  <w:style w:type="paragraph" w:styleId="936" w:customStyle="1">
    <w:name w:val="xl101"/>
    <w:basedOn w:val="692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37" w:customStyle="1">
    <w:name w:val="xl102"/>
    <w:basedOn w:val="692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38" w:customStyle="1">
    <w:name w:val="xl103"/>
    <w:basedOn w:val="692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39" w:customStyle="1">
    <w:name w:val="xl104"/>
    <w:basedOn w:val="692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40" w:customStyle="1">
    <w:name w:val="xl105"/>
    <w:basedOn w:val="692"/>
    <w:pPr>
      <w:jc w:val="center"/>
      <w:spacing w:before="100" w:beforeAutospacing="1" w:after="100" w:afterAutospacing="1" w:line="240" w:lineRule="auto"/>
      <w:pBdr>
        <w:bottom w:val="single" w:color="000000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41" w:customStyle="1">
    <w:name w:val="xl106"/>
    <w:basedOn w:val="692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42" w:customStyle="1">
    <w:name w:val="xl107"/>
    <w:basedOn w:val="692"/>
    <w:pPr>
      <w:jc w:val="center"/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43" w:customStyle="1">
    <w:name w:val="xl108"/>
    <w:basedOn w:val="692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44" w:customStyle="1">
    <w:name w:val="xl109"/>
    <w:basedOn w:val="692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45" w:customStyle="1">
    <w:name w:val="xl110"/>
    <w:basedOn w:val="692"/>
    <w:pPr>
      <w:jc w:val="center"/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46" w:customStyle="1">
    <w:name w:val="xl111"/>
    <w:basedOn w:val="692"/>
    <w:pPr>
      <w:jc w:val="center"/>
      <w:spacing w:before="100" w:beforeAutospacing="1" w:after="100" w:afterAutospacing="1" w:line="240" w:lineRule="auto"/>
      <w:pBdr>
        <w:top w:val="single" w:color="auto" w:sz="4" w:space="0"/>
        <w:right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47" w:customStyle="1">
    <w:name w:val="xl112"/>
    <w:basedOn w:val="692"/>
    <w:pPr>
      <w:jc w:val="center"/>
      <w:spacing w:before="100" w:beforeAutospacing="1" w:after="100" w:afterAutospacing="1" w:line="240" w:lineRule="auto"/>
      <w:pBdr>
        <w:right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48" w:customStyle="1">
    <w:name w:val="xl113"/>
    <w:basedOn w:val="692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49" w:customStyle="1">
    <w:name w:val="xl114"/>
    <w:basedOn w:val="692"/>
    <w:pPr>
      <w:jc w:val="center"/>
      <w:spacing w:before="100" w:beforeAutospacing="1" w:after="100" w:afterAutospacing="1" w:line="240" w:lineRule="auto"/>
      <w:pBdr>
        <w:bottom w:val="single" w:color="000000" w:sz="4" w:space="0"/>
        <w:right w:val="single" w:color="000000" w:sz="4" w:space="0"/>
      </w:pBdr>
    </w:pPr>
    <w:rPr>
      <w:rFonts w:eastAsia="Times New Roman"/>
      <w:color w:val="000000"/>
      <w:sz w:val="24"/>
      <w:szCs w:val="24"/>
    </w:rPr>
  </w:style>
  <w:style w:type="paragraph" w:styleId="950" w:customStyle="1">
    <w:name w:val="xl115"/>
    <w:basedOn w:val="692"/>
    <w:pPr>
      <w:jc w:val="center"/>
      <w:spacing w:before="100" w:beforeAutospacing="1" w:after="100" w:afterAutospacing="1" w:line="240" w:lineRule="auto"/>
      <w:pBdr>
        <w:bottom w:val="single" w:color="auto" w:sz="4" w:space="0"/>
      </w:pBdr>
    </w:pPr>
    <w:rPr>
      <w:rFonts w:eastAsia="Times New Roman"/>
      <w:color w:val="000000"/>
      <w:sz w:val="24"/>
      <w:szCs w:val="24"/>
    </w:rPr>
  </w:style>
  <w:style w:type="paragraph" w:styleId="951" w:customStyle="1">
    <w:name w:val="xl116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</w:rPr>
  </w:style>
  <w:style w:type="paragraph" w:styleId="952" w:customStyle="1">
    <w:name w:val="xl117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top w:val="single" w:color="000000" w:sz="4" w:space="0"/>
        <w:left w:val="single" w:color="000000" w:sz="4" w:space="0"/>
        <w:bottom w:val="single" w:color="auto" w:sz="4" w:space="0"/>
        <w:right w:val="single" w:color="000000" w:sz="4" w:space="0"/>
      </w:pBdr>
    </w:pPr>
    <w:rPr>
      <w:rFonts w:eastAsia="Times New Roman"/>
      <w:sz w:val="24"/>
      <w:szCs w:val="24"/>
    </w:rPr>
  </w:style>
  <w:style w:type="paragraph" w:styleId="953" w:customStyle="1">
    <w:name w:val="xl118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</w:rPr>
  </w:style>
  <w:style w:type="paragraph" w:styleId="954" w:customStyle="1">
    <w:name w:val="xl119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top w:val="single" w:color="000000" w:sz="4" w:space="0"/>
        <w:left w:val="single" w:color="000000" w:sz="4" w:space="0"/>
        <w:right w:val="single" w:color="auto" w:sz="4" w:space="0"/>
      </w:pBdr>
    </w:pPr>
    <w:rPr>
      <w:rFonts w:eastAsia="Times New Roman"/>
      <w:sz w:val="24"/>
      <w:szCs w:val="24"/>
    </w:rPr>
  </w:style>
  <w:style w:type="paragraph" w:styleId="955" w:customStyle="1">
    <w:name w:val="xl120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left w:val="single" w:color="000000" w:sz="4" w:space="0"/>
        <w:right w:val="single" w:color="auto" w:sz="4" w:space="0"/>
      </w:pBdr>
    </w:pPr>
    <w:rPr>
      <w:rFonts w:eastAsia="Times New Roman"/>
      <w:sz w:val="24"/>
      <w:szCs w:val="24"/>
    </w:rPr>
  </w:style>
  <w:style w:type="paragraph" w:styleId="956" w:customStyle="1">
    <w:name w:val="xl121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left w:val="single" w:color="000000" w:sz="4" w:space="0"/>
        <w:bottom w:val="single" w:color="000000" w:sz="4" w:space="0"/>
        <w:right w:val="single" w:color="auto" w:sz="4" w:space="0"/>
      </w:pBdr>
    </w:pPr>
    <w:rPr>
      <w:rFonts w:eastAsia="Times New Roman"/>
      <w:sz w:val="24"/>
      <w:szCs w:val="24"/>
    </w:rPr>
  </w:style>
  <w:style w:type="paragraph" w:styleId="957" w:customStyle="1">
    <w:name w:val="xl122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top w:val="single" w:color="000000" w:sz="4" w:space="0"/>
        <w:left w:val="single" w:color="auto" w:sz="4" w:space="0"/>
      </w:pBdr>
    </w:pPr>
    <w:rPr>
      <w:rFonts w:eastAsia="Times New Roman"/>
      <w:sz w:val="24"/>
      <w:szCs w:val="24"/>
    </w:rPr>
  </w:style>
  <w:style w:type="paragraph" w:styleId="958" w:customStyle="1">
    <w:name w:val="xl123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</w:pPr>
    <w:rPr>
      <w:rFonts w:eastAsia="Times New Roman"/>
      <w:sz w:val="24"/>
      <w:szCs w:val="24"/>
    </w:rPr>
  </w:style>
  <w:style w:type="paragraph" w:styleId="959" w:customStyle="1">
    <w:name w:val="xl124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top w:val="single" w:color="auto" w:sz="4" w:space="0"/>
        <w:left w:val="single" w:color="auto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</w:rPr>
  </w:style>
  <w:style w:type="paragraph" w:styleId="960" w:customStyle="1">
    <w:name w:val="xl125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top w:val="single" w:color="000000" w:sz="4" w:space="0"/>
        <w:right w:val="single" w:color="auto" w:sz="4" w:space="0"/>
      </w:pBdr>
    </w:pPr>
    <w:rPr>
      <w:rFonts w:eastAsia="Times New Roman"/>
      <w:sz w:val="24"/>
      <w:szCs w:val="24"/>
    </w:rPr>
  </w:style>
  <w:style w:type="paragraph" w:styleId="961" w:customStyle="1">
    <w:name w:val="xl126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top w:val="single" w:color="000000" w:sz="4" w:space="0"/>
        <w:left w:val="single" w:color="auto" w:sz="4" w:space="0"/>
        <w:bottom w:val="single" w:color="auto" w:sz="4" w:space="0"/>
      </w:pBdr>
    </w:pPr>
    <w:rPr>
      <w:rFonts w:eastAsia="Times New Roman"/>
      <w:sz w:val="24"/>
      <w:szCs w:val="24"/>
    </w:rPr>
  </w:style>
  <w:style w:type="paragraph" w:styleId="962" w:customStyle="1">
    <w:name w:val="xl127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top w:val="single" w:color="000000" w:sz="4" w:space="0"/>
        <w:bottom w:val="single" w:color="auto" w:sz="4" w:space="0"/>
        <w:right w:val="single" w:color="auto" w:sz="4" w:space="0"/>
      </w:pBdr>
    </w:pPr>
    <w:rPr>
      <w:rFonts w:eastAsia="Times New Roman"/>
      <w:sz w:val="24"/>
      <w:szCs w:val="24"/>
    </w:rPr>
  </w:style>
  <w:style w:type="paragraph" w:styleId="963" w:customStyle="1">
    <w:name w:val="xl128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left w:val="single" w:color="000000" w:sz="4" w:space="0"/>
        <w:right w:val="single" w:color="000000" w:sz="4" w:space="0"/>
      </w:pBdr>
    </w:pPr>
    <w:rPr>
      <w:rFonts w:eastAsia="Times New Roman"/>
      <w:sz w:val="24"/>
      <w:szCs w:val="24"/>
    </w:rPr>
  </w:style>
  <w:style w:type="paragraph" w:styleId="964" w:customStyle="1">
    <w:name w:val="xl129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</w:rPr>
  </w:style>
  <w:style w:type="paragraph" w:styleId="965" w:customStyle="1">
    <w:name w:val="xl130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bottom w:val="single" w:color="000000" w:sz="4" w:space="0"/>
      </w:pBdr>
    </w:pPr>
    <w:rPr>
      <w:rFonts w:eastAsia="Times New Roman"/>
      <w:sz w:val="24"/>
      <w:szCs w:val="24"/>
    </w:rPr>
  </w:style>
  <w:style w:type="paragraph" w:styleId="966" w:customStyle="1">
    <w:name w:val="xl131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bottom w:val="single" w:color="000000" w:sz="4" w:space="0"/>
        <w:right w:val="single" w:color="auto" w:sz="4" w:space="0"/>
      </w:pBdr>
    </w:pPr>
    <w:rPr>
      <w:rFonts w:eastAsia="Times New Roman"/>
      <w:sz w:val="24"/>
      <w:szCs w:val="24"/>
    </w:rPr>
  </w:style>
  <w:style w:type="paragraph" w:styleId="967" w:customStyle="1">
    <w:name w:val="xl132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right w:val="single" w:color="000000" w:sz="4" w:space="0"/>
      </w:pBdr>
    </w:pPr>
    <w:rPr>
      <w:rFonts w:eastAsia="Times New Roman"/>
      <w:sz w:val="24"/>
      <w:szCs w:val="24"/>
    </w:rPr>
  </w:style>
  <w:style w:type="paragraph" w:styleId="968" w:customStyle="1">
    <w:name w:val="xl133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bottom w:val="single" w:color="000000" w:sz="4" w:space="0"/>
        <w:right w:val="single" w:color="000000" w:sz="4" w:space="0"/>
      </w:pBdr>
    </w:pPr>
    <w:rPr>
      <w:rFonts w:eastAsia="Times New Roman"/>
      <w:sz w:val="24"/>
      <w:szCs w:val="24"/>
    </w:rPr>
  </w:style>
  <w:style w:type="paragraph" w:styleId="969" w:customStyle="1">
    <w:name w:val="xl134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top w:val="single" w:color="auto" w:sz="4" w:space="0"/>
        <w:left w:val="single" w:color="auto" w:sz="4" w:space="0"/>
        <w:bottom w:val="single" w:color="000000" w:sz="4" w:space="0"/>
      </w:pBdr>
    </w:pPr>
    <w:rPr>
      <w:rFonts w:eastAsia="Times New Roman"/>
      <w:sz w:val="24"/>
      <w:szCs w:val="24"/>
    </w:rPr>
  </w:style>
  <w:style w:type="paragraph" w:styleId="970" w:customStyle="1">
    <w:name w:val="xl135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/>
      <w:sz w:val="24"/>
      <w:szCs w:val="24"/>
    </w:rPr>
  </w:style>
  <w:style w:type="paragraph" w:styleId="971" w:customStyle="1">
    <w:name w:val="xl136"/>
    <w:basedOn w:val="692"/>
    <w:pPr>
      <w:jc w:val="center"/>
      <w:spacing w:before="100" w:beforeAutospacing="1" w:after="100" w:afterAutospacing="1" w:line="240" w:lineRule="auto"/>
      <w:shd w:val="clear" w:color="ffffff" w:fill="ffffff"/>
      <w:pBdr>
        <w:top w:val="single" w:color="000000" w:sz="4" w:space="0"/>
        <w:bottom w:val="single" w:color="000000" w:sz="4" w:space="0"/>
        <w:right w:val="single" w:color="auto" w:sz="4" w:space="0"/>
      </w:pBdr>
    </w:pPr>
    <w:rPr>
      <w:rFonts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hyperlink" Target="https://ru.wikipedia.org/wiki/%D0%9F%D0%B8%D1%82%D1%8C%D0%B5%D0%B2%D0%B0%D1%8F_%D0%B2%D0%BE%D0%B4%D0%B0" TargetMode="External"/><Relationship Id="rId16" Type="http://schemas.openxmlformats.org/officeDocument/2006/relationships/hyperlink" Target="https://docs.cntd.ru/document/456049574" TargetMode="External"/><Relationship Id="rId17" Type="http://schemas.openxmlformats.org/officeDocument/2006/relationships/hyperlink" Target="consultantplus://offline/ref=EFC6B62FC82C707DC83288F8D442FD70A7DD9D309B49395E545AEF6BDA588F8B6E53A0ABE2DBCF9E1205289546i433W" TargetMode="External"/><Relationship Id="rId18" Type="http://schemas.openxmlformats.org/officeDocument/2006/relationships/hyperlink" Target="https://ru.wikipedia.org/wiki/%D0%9F%D0%B8%D1%82%D1%8C%D0%B5%D0%B2%D0%B0%D1%8F_%D0%B2%D0%BE%D0%B4%D0%B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C0264479-158F-43E8-B2CE-C6BEAA2D8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opd_333-3</dc:creator>
  <cp:revision>23</cp:revision>
  <dcterms:created xsi:type="dcterms:W3CDTF">2023-01-21T05:20:00Z</dcterms:created>
  <dcterms:modified xsi:type="dcterms:W3CDTF">2023-04-05T00:19:13Z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